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7E" w:rsidRDefault="00C9077E">
      <w:pPr>
        <w:rPr>
          <w:b/>
          <w:i/>
        </w:rPr>
      </w:pPr>
      <w:bookmarkStart w:id="0" w:name="_GoBack"/>
      <w:bookmarkEnd w:id="0"/>
      <w:r w:rsidRPr="00C9077E">
        <w:rPr>
          <w:b/>
          <w:i/>
        </w:rPr>
        <w:t xml:space="preserve">                   </w:t>
      </w:r>
      <w:r w:rsidR="00FF4EBF">
        <w:rPr>
          <w:b/>
          <w:i/>
        </w:rPr>
        <w:t xml:space="preserve">         TEXT OF ARTICLE IN THE EUROPEAN ADVOCATE SPRING 2016</w:t>
      </w:r>
    </w:p>
    <w:p w:rsidR="00FF4EBF" w:rsidRDefault="00FF4EBF">
      <w:pPr>
        <w:rPr>
          <w:b/>
          <w:i/>
        </w:rPr>
      </w:pPr>
      <w:r>
        <w:rPr>
          <w:b/>
          <w:i/>
        </w:rPr>
        <w:t xml:space="preserve">                                                            THREE EU OFFERS</w:t>
      </w:r>
    </w:p>
    <w:p w:rsidR="00FF4EBF" w:rsidRDefault="00FF4EBF">
      <w:pPr>
        <w:rPr>
          <w:b/>
          <w:i/>
        </w:rPr>
      </w:pPr>
      <w:r>
        <w:rPr>
          <w:b/>
          <w:i/>
        </w:rPr>
        <w:t xml:space="preserve">                                                     CPJ MUTTUKUMARU CB</w:t>
      </w:r>
    </w:p>
    <w:p w:rsidR="00615CB7" w:rsidRDefault="00000F23">
      <w:pPr>
        <w:rPr>
          <w:b/>
          <w:i/>
        </w:rPr>
      </w:pPr>
      <w:r>
        <w:rPr>
          <w:b/>
          <w:i/>
        </w:rPr>
        <w:t xml:space="preserve">EU reform and the in/out referendum: a legal analysis </w:t>
      </w:r>
      <w:r w:rsidR="000C30DE">
        <w:rPr>
          <w:b/>
          <w:i/>
        </w:rPr>
        <w:t xml:space="preserve">of three areas of change  sought by </w:t>
      </w:r>
      <w:r w:rsidR="00F93104" w:rsidRPr="00F93104">
        <w:rPr>
          <w:b/>
          <w:i/>
        </w:rPr>
        <w:t xml:space="preserve">the United Kingdom </w:t>
      </w:r>
    </w:p>
    <w:p w:rsidR="00F93104" w:rsidRDefault="00853DFC" w:rsidP="00313C08">
      <w:r>
        <w:t>In his letter of 10 November 2015 to the</w:t>
      </w:r>
      <w:r w:rsidR="00F93104">
        <w:t xml:space="preserve"> President of the European Council</w:t>
      </w:r>
      <w:r>
        <w:t xml:space="preserve"> </w:t>
      </w:r>
      <w:r w:rsidR="00F93104">
        <w:t xml:space="preserve">, David Cameron set out </w:t>
      </w:r>
      <w:r w:rsidR="000C30DE">
        <w:t xml:space="preserve">the subjects on </w:t>
      </w:r>
      <w:r w:rsidR="00F93104">
        <w:t>which the UK was see</w:t>
      </w:r>
      <w:r>
        <w:t xml:space="preserve">king EU reform. </w:t>
      </w:r>
      <w:r w:rsidR="00F93104">
        <w:t xml:space="preserve"> I will </w:t>
      </w:r>
      <w:r w:rsidR="00C9419B">
        <w:t>examine</w:t>
      </w:r>
      <w:r w:rsidR="003B2DFD">
        <w:t xml:space="preserve"> </w:t>
      </w:r>
      <w:r w:rsidR="006F01C7">
        <w:t xml:space="preserve"> the legal aspects of the perceived problems  which underpinned</w:t>
      </w:r>
      <w:r w:rsidR="003D4168">
        <w:t xml:space="preserve"> three of </w:t>
      </w:r>
      <w:r w:rsidR="006F01C7">
        <w:t xml:space="preserve"> the </w:t>
      </w:r>
      <w:r w:rsidR="00FF399B">
        <w:t xml:space="preserve"> UK’s</w:t>
      </w:r>
      <w:r w:rsidR="006F01C7">
        <w:t xml:space="preserve"> renegotiation aims</w:t>
      </w:r>
      <w:r w:rsidR="003B2DFD">
        <w:t xml:space="preserve">. I will also cover </w:t>
      </w:r>
      <w:r w:rsidR="006F01C7">
        <w:t xml:space="preserve"> what</w:t>
      </w:r>
      <w:r w:rsidR="00C9419B">
        <w:t xml:space="preserve"> the European Council </w:t>
      </w:r>
      <w:r w:rsidR="006F01C7">
        <w:t xml:space="preserve"> offer</w:t>
      </w:r>
      <w:r w:rsidR="00C9419B">
        <w:t>ed</w:t>
      </w:r>
      <w:r w:rsidR="003D4168">
        <w:t xml:space="preserve">  </w:t>
      </w:r>
      <w:r w:rsidR="006F01C7">
        <w:t xml:space="preserve">the UK in respect of </w:t>
      </w:r>
      <w:r w:rsidR="003D4168">
        <w:t>those thr</w:t>
      </w:r>
      <w:r w:rsidR="008F2A9B">
        <w:t>ee aims</w:t>
      </w:r>
      <w:r w:rsidR="003D4168">
        <w:t xml:space="preserve">: </w:t>
      </w:r>
      <w:r w:rsidR="00FF399B">
        <w:t xml:space="preserve"> </w:t>
      </w:r>
      <w:r w:rsidR="00F93104">
        <w:t xml:space="preserve">(a) </w:t>
      </w:r>
      <w:r w:rsidR="00C9419B">
        <w:t>exemption from</w:t>
      </w:r>
      <w:r w:rsidR="00DA30C0">
        <w:t xml:space="preserve"> ever closer unio</w:t>
      </w:r>
      <w:r w:rsidR="00C9419B">
        <w:t>n ; (b) an enhanced role for</w:t>
      </w:r>
      <w:r w:rsidR="003D4168">
        <w:t xml:space="preserve"> national parliaments</w:t>
      </w:r>
      <w:r w:rsidR="00C9419B">
        <w:t xml:space="preserve"> to block unwanted legislation</w:t>
      </w:r>
      <w:r w:rsidR="003D4168">
        <w:t>;</w:t>
      </w:r>
      <w:r w:rsidR="006F01C7">
        <w:t xml:space="preserve"> </w:t>
      </w:r>
      <w:r w:rsidR="00DA30C0">
        <w:t>and (c</w:t>
      </w:r>
      <w:r w:rsidR="00F93104">
        <w:t xml:space="preserve">) </w:t>
      </w:r>
      <w:r w:rsidR="001C2248">
        <w:t>t</w:t>
      </w:r>
      <w:r w:rsidR="00C9419B">
        <w:t>ackling the stock of existing EU regulation. T</w:t>
      </w:r>
      <w:r w:rsidR="00C9419B" w:rsidRPr="00C9419B">
        <w:t xml:space="preserve">he </w:t>
      </w:r>
      <w:r w:rsidR="00C9419B">
        <w:t xml:space="preserve">EU’s offers were contained in a </w:t>
      </w:r>
      <w:r w:rsidR="00C9419B" w:rsidRPr="00C9419B">
        <w:t>suite of documents attached to the Council’s Conclusions at its mee</w:t>
      </w:r>
      <w:r w:rsidR="00C9419B">
        <w:t>ting on 18 and 19 February 2016.</w:t>
      </w:r>
      <w:r w:rsidR="00FF399B">
        <w:t xml:space="preserve"> </w:t>
      </w:r>
    </w:p>
    <w:p w:rsidR="00C9419B" w:rsidRDefault="000C30DE" w:rsidP="00313C08">
      <w:r>
        <w:t>N</w:t>
      </w:r>
      <w:r w:rsidR="00C778F2">
        <w:t>ationa</w:t>
      </w:r>
      <w:r w:rsidR="008F2A9B">
        <w:t>l sovere</w:t>
      </w:r>
      <w:r w:rsidR="00312D5D">
        <w:t xml:space="preserve">ignty </w:t>
      </w:r>
      <w:r w:rsidR="008F2A9B">
        <w:t>was a constant</w:t>
      </w:r>
      <w:r w:rsidR="00C778F2">
        <w:t xml:space="preserve"> </w:t>
      </w:r>
      <w:r w:rsidR="008F2A9B">
        <w:t xml:space="preserve"> </w:t>
      </w:r>
      <w:r w:rsidR="00C778F2">
        <w:t xml:space="preserve"> theme </w:t>
      </w:r>
      <w:r w:rsidR="008F2A9B">
        <w:t>of the renegotiation</w:t>
      </w:r>
      <w:r>
        <w:t xml:space="preserve">, </w:t>
      </w:r>
      <w:r w:rsidR="008F2A9B">
        <w:t xml:space="preserve">reflecting the political climate in the UK. </w:t>
      </w:r>
      <w:r w:rsidR="000B33A9">
        <w:t xml:space="preserve">The question whether </w:t>
      </w:r>
      <w:r w:rsidR="008F2A9B">
        <w:t xml:space="preserve">there exists </w:t>
      </w:r>
      <w:r w:rsidR="00C9419B">
        <w:t xml:space="preserve"> an unneces</w:t>
      </w:r>
      <w:r w:rsidR="008F2A9B">
        <w:t>sary excess of  EU regulation was equally politically significant , re</w:t>
      </w:r>
      <w:r w:rsidR="00312D5D">
        <w:t xml:space="preserve">flecting concerns in the UK and other </w:t>
      </w:r>
      <w:r w:rsidR="008F2A9B">
        <w:t xml:space="preserve"> Member States. </w:t>
      </w:r>
    </w:p>
    <w:p w:rsidR="0019043A" w:rsidRPr="00312D5D" w:rsidRDefault="0019043A" w:rsidP="00312D5D">
      <w:pPr>
        <w:rPr>
          <w:b/>
          <w:i/>
        </w:rPr>
      </w:pPr>
      <w:r w:rsidRPr="00312D5D">
        <w:rPr>
          <w:b/>
          <w:i/>
        </w:rPr>
        <w:t>Sovereignty – ever closer union</w:t>
      </w:r>
    </w:p>
    <w:p w:rsidR="00D13946" w:rsidRDefault="00312D5D" w:rsidP="00AF763A">
      <w:r>
        <w:rPr>
          <w:b/>
          <w:i/>
        </w:rPr>
        <w:t xml:space="preserve">The perceived problem </w:t>
      </w:r>
      <w:r w:rsidR="008F2A9B">
        <w:t>T</w:t>
      </w:r>
      <w:r w:rsidR="006B131A">
        <w:t xml:space="preserve">he UK </w:t>
      </w:r>
      <w:r w:rsidR="008F2A9B">
        <w:t xml:space="preserve">argued that it </w:t>
      </w:r>
      <w:r w:rsidR="006B131A">
        <w:t xml:space="preserve">should be exempt from the requirement to work towards </w:t>
      </w:r>
      <w:r w:rsidR="00D13946">
        <w:t xml:space="preserve"> “ever closer union” </w:t>
      </w:r>
      <w:r w:rsidR="006B131A">
        <w:t>. T</w:t>
      </w:r>
      <w:r w:rsidR="00853DFC">
        <w:t>he concept is not</w:t>
      </w:r>
      <w:r w:rsidR="00100900">
        <w:t xml:space="preserve"> new. It appeared</w:t>
      </w:r>
      <w:r w:rsidR="00D13946">
        <w:t xml:space="preserve"> in the Preamble to the Treaty of Rome in 1957 (“determined to lay the foundations of an ever closer unio</w:t>
      </w:r>
      <w:r>
        <w:t>n among the peoples of Europe”)</w:t>
      </w:r>
      <w:r w:rsidR="00D13946">
        <w:t xml:space="preserve">. </w:t>
      </w:r>
    </w:p>
    <w:p w:rsidR="0019043A" w:rsidRPr="00C43FC5" w:rsidRDefault="0091095F" w:rsidP="00AF763A">
      <w:r>
        <w:t xml:space="preserve">Thereafter, </w:t>
      </w:r>
      <w:r w:rsidR="00974716">
        <w:t xml:space="preserve">the concept was developed </w:t>
      </w:r>
      <w:r w:rsidR="00D13946">
        <w:t>by the Member States in subseque</w:t>
      </w:r>
      <w:r w:rsidR="001C2248">
        <w:t>nt</w:t>
      </w:r>
      <w:r w:rsidR="00974716">
        <w:t xml:space="preserve"> treaty </w:t>
      </w:r>
      <w:r w:rsidR="001C2248">
        <w:t xml:space="preserve"> t</w:t>
      </w:r>
      <w:r w:rsidR="00974716">
        <w:t xml:space="preserve">exts. </w:t>
      </w:r>
      <w:r w:rsidR="00C43FC5">
        <w:t>Reflecting these developments, t</w:t>
      </w:r>
      <w:r w:rsidR="00DD50A9" w:rsidRPr="00DD50A9">
        <w:t>he current term</w:t>
      </w:r>
      <w:r w:rsidR="00100900">
        <w:t>inology appears in the Preamble</w:t>
      </w:r>
      <w:r w:rsidR="00DD50A9" w:rsidRPr="00DD50A9">
        <w:t xml:space="preserve"> to the Treaty on European Union  which provides: </w:t>
      </w:r>
      <w:r w:rsidR="00DD50A9" w:rsidRPr="00AF763A">
        <w:rPr>
          <w:i/>
        </w:rPr>
        <w:t>“....Resolved to continue the process of creating an ever closer union among the peoples of Europe , in which decisions are taken as closely as possible to the citizen in accordance with the principle of subsidiarity”.</w:t>
      </w:r>
      <w:r w:rsidR="00DD50A9" w:rsidRPr="00DD50A9">
        <w:t xml:space="preserve"> In Article 1 /TEU, the signatories say: </w:t>
      </w:r>
      <w:r w:rsidR="00DD50A9" w:rsidRPr="00AF763A">
        <w:rPr>
          <w:i/>
        </w:rPr>
        <w:t>“ This Treaty marks a new stage in the process of creating an ever closer union among the peoples of Europe in which decisions are taken as openly as possible and as closely as possible to the citizen”.</w:t>
      </w:r>
      <w:r w:rsidR="00C43FC5" w:rsidRPr="00AF763A">
        <w:rPr>
          <w:i/>
        </w:rPr>
        <w:t xml:space="preserve"> </w:t>
      </w:r>
    </w:p>
    <w:p w:rsidR="001C2248" w:rsidRPr="00E40FC0" w:rsidRDefault="00E40FC0" w:rsidP="00AF763A">
      <w:r>
        <w:t>T</w:t>
      </w:r>
      <w:r w:rsidR="00C778F2">
        <w:t xml:space="preserve">he concept has symbolic </w:t>
      </w:r>
      <w:r w:rsidR="002A246B" w:rsidRPr="00E40FC0">
        <w:t>political sign</w:t>
      </w:r>
      <w:r w:rsidR="00022DA3" w:rsidRPr="00E40FC0">
        <w:t xml:space="preserve">ificance within the UK. </w:t>
      </w:r>
      <w:r w:rsidR="009140D7" w:rsidRPr="00E40FC0">
        <w:t xml:space="preserve"> </w:t>
      </w:r>
      <w:r w:rsidR="00635581" w:rsidRPr="00E40FC0">
        <w:t>But the first key</w:t>
      </w:r>
      <w:r w:rsidR="002A246B" w:rsidRPr="00E40FC0">
        <w:t xml:space="preserve"> </w:t>
      </w:r>
      <w:r w:rsidR="007A1B7B" w:rsidRPr="00E40FC0">
        <w:t>questi</w:t>
      </w:r>
      <w:r>
        <w:t xml:space="preserve">on </w:t>
      </w:r>
      <w:r w:rsidR="00312D5D">
        <w:t xml:space="preserve">is whether </w:t>
      </w:r>
      <w:r w:rsidR="007A1B7B" w:rsidRPr="00E40FC0">
        <w:t xml:space="preserve"> the concept of “ever </w:t>
      </w:r>
      <w:r w:rsidR="00312D5D">
        <w:t>closer union” has</w:t>
      </w:r>
      <w:r w:rsidR="007A1B7B" w:rsidRPr="00E40FC0">
        <w:t xml:space="preserve"> legal effects ?</w:t>
      </w:r>
    </w:p>
    <w:p w:rsidR="00AF6111" w:rsidRDefault="00A90369" w:rsidP="00AF763A">
      <w:r>
        <w:t xml:space="preserve">According to a House of </w:t>
      </w:r>
      <w:r w:rsidR="0091095F">
        <w:t xml:space="preserve">Commons Library briefing paper of 16 November 2015, there had at the time of publication </w:t>
      </w:r>
      <w:r>
        <w:t xml:space="preserve"> been  no more than 57 references to “ever closer union” in the jurisprudence of the Court of Justice  (0.19% of the total), not all in court judgments.  </w:t>
      </w:r>
      <w:r w:rsidR="000C30DE">
        <w:t>Three</w:t>
      </w:r>
      <w:r>
        <w:t xml:space="preserve"> </w:t>
      </w:r>
      <w:r w:rsidR="00AF6111">
        <w:t>examples of</w:t>
      </w:r>
      <w:r w:rsidR="003D4168">
        <w:t xml:space="preserve"> the use</w:t>
      </w:r>
      <w:r w:rsidR="003B2DFD">
        <w:t xml:space="preserve"> of the concept in </w:t>
      </w:r>
      <w:r w:rsidR="00312D5D">
        <w:t xml:space="preserve">the Court’s </w:t>
      </w:r>
      <w:r w:rsidR="00330F82">
        <w:t>case</w:t>
      </w:r>
      <w:r w:rsidR="00C778F2">
        <w:t xml:space="preserve"> </w:t>
      </w:r>
      <w:r w:rsidR="00330F82">
        <w:t>law</w:t>
      </w:r>
      <w:r w:rsidR="00AF6111">
        <w:t xml:space="preserve"> are as follows:</w:t>
      </w:r>
    </w:p>
    <w:p w:rsidR="00AF6111" w:rsidRDefault="00AF6111" w:rsidP="00AF6111">
      <w:pPr>
        <w:pStyle w:val="ListParagraph"/>
      </w:pPr>
    </w:p>
    <w:p w:rsidR="00C778F2" w:rsidRDefault="001C61B7" w:rsidP="00AF6111">
      <w:pPr>
        <w:pStyle w:val="ListParagraph"/>
        <w:numPr>
          <w:ilvl w:val="0"/>
          <w:numId w:val="2"/>
        </w:numPr>
      </w:pPr>
      <w:r>
        <w:t xml:space="preserve">A recent example </w:t>
      </w:r>
      <w:r w:rsidR="00E40FC0">
        <w:t xml:space="preserve">of the approach of </w:t>
      </w:r>
      <w:r w:rsidR="00573F38">
        <w:t xml:space="preserve">the CJEU </w:t>
      </w:r>
      <w:r w:rsidR="00FA173A">
        <w:t>i</w:t>
      </w:r>
      <w:r w:rsidR="00E40FC0">
        <w:t xml:space="preserve">s </w:t>
      </w:r>
      <w:r w:rsidR="00FA173A">
        <w:t>in</w:t>
      </w:r>
      <w:r w:rsidR="00E40FC0">
        <w:t xml:space="preserve"> its </w:t>
      </w:r>
      <w:r w:rsidR="00FA173A" w:rsidRPr="00FA173A">
        <w:rPr>
          <w:i/>
        </w:rPr>
        <w:t>Opinion 2/13 on the Compatibility of the draft Agreement on accession of the EU to the ECHR</w:t>
      </w:r>
      <w:r w:rsidR="00E40FC0">
        <w:t>. T</w:t>
      </w:r>
      <w:r w:rsidR="00FA173A" w:rsidRPr="00FA173A">
        <w:t>he Court’s op</w:t>
      </w:r>
      <w:r w:rsidR="00C778F2">
        <w:t xml:space="preserve">inion was in part based on its </w:t>
      </w:r>
      <w:r w:rsidR="00312D5D">
        <w:t xml:space="preserve">view </w:t>
      </w:r>
      <w:r w:rsidR="00FA173A" w:rsidRPr="00FA173A">
        <w:t>that the EU legal framework arose from the treaties and that that framework reflected a common desire to adhere to a common set of values (incl</w:t>
      </w:r>
      <w:r w:rsidR="00100900">
        <w:t>uding respect for human rights)</w:t>
      </w:r>
      <w:r w:rsidR="00FA173A" w:rsidRPr="00FA173A">
        <w:t xml:space="preserve"> within the scope of the EU rules. The Court held that the proposed agreement did not adequately address the risk that accession would subvert the autonomy and exclusivity of the EU legal regime. In reaching that view, the </w:t>
      </w:r>
      <w:r w:rsidR="00C778F2">
        <w:t xml:space="preserve">Court in its reasoning said: </w:t>
      </w:r>
      <w:r w:rsidR="00FA173A" w:rsidRPr="00FA173A">
        <w:t xml:space="preserve"> </w:t>
      </w:r>
      <w:r w:rsidR="00C778F2">
        <w:t>“</w:t>
      </w:r>
      <w:r w:rsidR="00FA173A" w:rsidRPr="00FA173A">
        <w:t xml:space="preserve">These essential characteristics of EU law have given rise to a </w:t>
      </w:r>
      <w:r w:rsidR="00FA173A" w:rsidRPr="00FA173A">
        <w:lastRenderedPageBreak/>
        <w:t>structured network of principles, rules and mutually interdependent legal relations linking the EU and its Member States, and its Member States with each other, which are now engaged, as is recalled in [Artic</w:t>
      </w:r>
      <w:r w:rsidR="00312D5D">
        <w:t>le 1 (2)</w:t>
      </w:r>
      <w:r w:rsidR="00100900">
        <w:t>]TEU</w:t>
      </w:r>
      <w:r w:rsidR="00FA173A" w:rsidRPr="00FA173A">
        <w:t xml:space="preserve">, in a process of creating an ever closer union among the peoples of Europe”. </w:t>
      </w:r>
    </w:p>
    <w:p w:rsidR="00C778F2" w:rsidRDefault="00C778F2" w:rsidP="00C778F2">
      <w:pPr>
        <w:pStyle w:val="ListParagraph"/>
        <w:ind w:left="1080"/>
      </w:pPr>
    </w:p>
    <w:p w:rsidR="00C778F2" w:rsidRDefault="00FA173A" w:rsidP="0072346E">
      <w:pPr>
        <w:pStyle w:val="ListParagraph"/>
        <w:ind w:left="1080"/>
      </w:pPr>
      <w:r w:rsidRPr="00FA173A">
        <w:t xml:space="preserve"> </w:t>
      </w:r>
      <w:r w:rsidR="0015435C">
        <w:t>To test the weight attached to the concept, a question to consider</w:t>
      </w:r>
      <w:r w:rsidR="00C778F2">
        <w:t xml:space="preserve"> is</w:t>
      </w:r>
      <w:r w:rsidR="003B2DFD">
        <w:t>: if</w:t>
      </w:r>
      <w:r w:rsidR="0015435C">
        <w:t xml:space="preserve"> the</w:t>
      </w:r>
      <w:r w:rsidR="00E40FC0">
        <w:t xml:space="preserve"> </w:t>
      </w:r>
      <w:r>
        <w:t>concept of “ever closer union”</w:t>
      </w:r>
      <w:r w:rsidR="00312D5D">
        <w:t xml:space="preserve"> had not been referred </w:t>
      </w:r>
      <w:r w:rsidR="0072346E">
        <w:t xml:space="preserve">to </w:t>
      </w:r>
      <w:r w:rsidR="00C778F2">
        <w:t>, would it</w:t>
      </w:r>
      <w:r>
        <w:t xml:space="preserve"> have made</w:t>
      </w:r>
      <w:r w:rsidR="00330F82">
        <w:t xml:space="preserve"> any difference to the outcome? It is true that a</w:t>
      </w:r>
      <w:r w:rsidR="00841CCC">
        <w:t xml:space="preserve"> </w:t>
      </w:r>
      <w:r>
        <w:t>coheren</w:t>
      </w:r>
      <w:r w:rsidR="00312D5D">
        <w:t>t</w:t>
      </w:r>
      <w:r w:rsidR="00841CCC">
        <w:t xml:space="preserve"> EU Law framework </w:t>
      </w:r>
      <w:r>
        <w:t>is</w:t>
      </w:r>
      <w:r w:rsidR="0015435C">
        <w:t xml:space="preserve"> </w:t>
      </w:r>
      <w:r w:rsidR="00330F82">
        <w:t xml:space="preserve"> the</w:t>
      </w:r>
      <w:r w:rsidR="00841CCC">
        <w:t xml:space="preserve"> way</w:t>
      </w:r>
      <w:r w:rsidR="00330F82">
        <w:t xml:space="preserve"> in which  </w:t>
      </w:r>
      <w:r w:rsidR="00667EAF">
        <w:t xml:space="preserve">legal effect </w:t>
      </w:r>
      <w:r w:rsidR="00330F82">
        <w:t xml:space="preserve">has been given </w:t>
      </w:r>
      <w:r w:rsidR="00667EAF">
        <w:t>to</w:t>
      </w:r>
      <w:r w:rsidR="00635A71">
        <w:t xml:space="preserve"> the political</w:t>
      </w:r>
      <w:r>
        <w:t xml:space="preserve"> consensus among  EU Member States</w:t>
      </w:r>
      <w:r w:rsidR="006036AD">
        <w:t xml:space="preserve"> </w:t>
      </w:r>
      <w:r w:rsidR="00F93F8B">
        <w:t xml:space="preserve">to work closely together within the scope of EU competence and </w:t>
      </w:r>
      <w:r w:rsidR="00C778F2">
        <w:t xml:space="preserve"> that the </w:t>
      </w:r>
      <w:r w:rsidR="0015435C">
        <w:t xml:space="preserve"> Court was keen to avoid the possibility that that </w:t>
      </w:r>
      <w:r w:rsidR="00635A71">
        <w:t xml:space="preserve">consensus might be subverted. </w:t>
      </w:r>
      <w:r w:rsidR="00E205EB">
        <w:t xml:space="preserve"> </w:t>
      </w:r>
      <w:r w:rsidR="00330F82">
        <w:t xml:space="preserve"> </w:t>
      </w:r>
      <w:r w:rsidR="00635A71">
        <w:t>But it seems reasonably clear that the reference to “ever closer union” was simply contextual (and probably superfluous) since t</w:t>
      </w:r>
      <w:r w:rsidR="00684E2D">
        <w:t xml:space="preserve">he Court </w:t>
      </w:r>
      <w:r w:rsidR="00A90369">
        <w:t xml:space="preserve">seems </w:t>
      </w:r>
      <w:r w:rsidR="00330F82">
        <w:t>to be doing no more than recognis</w:t>
      </w:r>
      <w:r w:rsidR="00635A71">
        <w:t xml:space="preserve">ing the concept as </w:t>
      </w:r>
      <w:r w:rsidR="00E40FC0">
        <w:t xml:space="preserve">an aspirational political </w:t>
      </w:r>
      <w:r w:rsidR="00E205EB">
        <w:t>aim. E</w:t>
      </w:r>
      <w:r w:rsidR="00330F82">
        <w:t>ven if “ev</w:t>
      </w:r>
      <w:r w:rsidR="0072346E">
        <w:t>er closer union” had not been mentioned</w:t>
      </w:r>
      <w:r w:rsidR="00E205EB">
        <w:t>, the Court would still have wished t</w:t>
      </w:r>
      <w:r w:rsidR="00312D5D">
        <w:t>o protect</w:t>
      </w:r>
      <w:r w:rsidR="00E205EB">
        <w:t xml:space="preserve"> the integrity of the EU Law framework.</w:t>
      </w:r>
    </w:p>
    <w:p w:rsidR="00280932" w:rsidRDefault="00280932" w:rsidP="0072346E">
      <w:pPr>
        <w:pStyle w:val="ListParagraph"/>
        <w:ind w:left="1080"/>
      </w:pPr>
    </w:p>
    <w:p w:rsidR="00853DFC" w:rsidRDefault="00312D5D" w:rsidP="00853DFC">
      <w:pPr>
        <w:pStyle w:val="ListParagraph"/>
        <w:numPr>
          <w:ilvl w:val="0"/>
          <w:numId w:val="2"/>
        </w:numPr>
      </w:pPr>
      <w:r>
        <w:t>There is a</w:t>
      </w:r>
      <w:r w:rsidR="002C16A1">
        <w:t xml:space="preserve"> li</w:t>
      </w:r>
      <w:r w:rsidR="00A90369">
        <w:t>ne of cases concerning access to documents of the EU institutions</w:t>
      </w:r>
      <w:r w:rsidR="00DB6822">
        <w:t xml:space="preserve"> which </w:t>
      </w:r>
      <w:r w:rsidR="00A90369">
        <w:t xml:space="preserve"> re</w:t>
      </w:r>
      <w:r w:rsidR="00DB6822">
        <w:t>fer  to ever closer union. For example, i</w:t>
      </w:r>
      <w:r w:rsidR="00A90369">
        <w:t xml:space="preserve">n </w:t>
      </w:r>
      <w:r w:rsidR="00A90369">
        <w:rPr>
          <w:i/>
        </w:rPr>
        <w:t xml:space="preserve">Case C506-08P Sweden v My Travel Group plc, </w:t>
      </w:r>
      <w:r w:rsidR="00A90369">
        <w:t>the Co</w:t>
      </w:r>
      <w:r w:rsidR="006036AD">
        <w:t>urt (First Chamber) considered the proper</w:t>
      </w:r>
      <w:r w:rsidR="00DB6822">
        <w:t xml:space="preserve"> approach to </w:t>
      </w:r>
      <w:r w:rsidR="006036AD">
        <w:t xml:space="preserve">reliance on </w:t>
      </w:r>
      <w:r w:rsidR="00DB6822">
        <w:t xml:space="preserve">the derogations </w:t>
      </w:r>
      <w:r w:rsidR="00A90369">
        <w:t xml:space="preserve">from the duty of openness contained in </w:t>
      </w:r>
      <w:r w:rsidR="00A90369">
        <w:rPr>
          <w:i/>
        </w:rPr>
        <w:t xml:space="preserve">Regulation </w:t>
      </w:r>
      <w:r w:rsidR="00A90369" w:rsidRPr="00A90369">
        <w:rPr>
          <w:i/>
        </w:rPr>
        <w:t>1049/2001</w:t>
      </w:r>
      <w:r w:rsidR="00A90369">
        <w:t xml:space="preserve">. </w:t>
      </w:r>
      <w:r w:rsidR="00DB6822">
        <w:t xml:space="preserve">It expressly referred to ever closer union as follows: “ as a preliminary observation, it should be noted that...[the] regulation reflects the intention [in Article 1 (ibid)] ….of marking a new stage in the process of creating an ever closer union …in which decisions are taken as openly as possible and as closely as possible to the citizen…” . The Court goes on to emphasise the need , since </w:t>
      </w:r>
      <w:r w:rsidR="006036AD">
        <w:t xml:space="preserve">it was construing </w:t>
      </w:r>
      <w:r w:rsidR="00DB6822">
        <w:t>the de</w:t>
      </w:r>
      <w:r w:rsidR="00DE2503">
        <w:t xml:space="preserve">rogations from the principle that there should be </w:t>
      </w:r>
      <w:r w:rsidR="00DB6822">
        <w:t xml:space="preserve">the widest possible access to the documents of the EU institutions, to interpret and </w:t>
      </w:r>
      <w:r w:rsidR="00EB6133">
        <w:t xml:space="preserve">apply  them strictly. This is no more </w:t>
      </w:r>
      <w:r w:rsidR="001D6E47">
        <w:t>than an</w:t>
      </w:r>
      <w:r w:rsidR="00DB6822">
        <w:t xml:space="preserve"> expression of the normal EU </w:t>
      </w:r>
      <w:r w:rsidR="00E40FC0">
        <w:t xml:space="preserve">Law </w:t>
      </w:r>
      <w:r w:rsidR="00DB6822">
        <w:t>approach that derogations</w:t>
      </w:r>
      <w:r w:rsidR="0072346E">
        <w:t xml:space="preserve"> </w:t>
      </w:r>
      <w:r w:rsidR="00DB6822">
        <w:t xml:space="preserve">are interpreted strictly against </w:t>
      </w:r>
      <w:r w:rsidR="00DB6822" w:rsidRPr="00635A73">
        <w:t xml:space="preserve">the person relying upon them. </w:t>
      </w:r>
      <w:r w:rsidR="00EB6133" w:rsidRPr="00635A73">
        <w:t>The reference to ever closer union is expressly</w:t>
      </w:r>
      <w:r>
        <w:t xml:space="preserve"> </w:t>
      </w:r>
      <w:r w:rsidR="00F326B2">
        <w:t>contextual</w:t>
      </w:r>
      <w:r w:rsidR="00DB6822">
        <w:t xml:space="preserve"> </w:t>
      </w:r>
      <w:r w:rsidR="00EB6133">
        <w:t>(a “prelimin</w:t>
      </w:r>
      <w:r w:rsidR="00F326B2">
        <w:t xml:space="preserve">ary observation”). It forms no </w:t>
      </w:r>
      <w:r w:rsidR="00EB6133">
        <w:t xml:space="preserve">part of the Court’s subsequent  </w:t>
      </w:r>
      <w:r w:rsidR="00EB6133" w:rsidRPr="00635A73">
        <w:t>reasoni</w:t>
      </w:r>
      <w:r w:rsidR="0072346E">
        <w:t>ng</w:t>
      </w:r>
      <w:r w:rsidR="002C16A1">
        <w:t>.</w:t>
      </w:r>
      <w:r w:rsidR="007549EF">
        <w:t xml:space="preserve"> </w:t>
      </w:r>
    </w:p>
    <w:p w:rsidR="00280932" w:rsidRDefault="00280932" w:rsidP="00280932">
      <w:pPr>
        <w:pStyle w:val="ListParagraph"/>
        <w:ind w:left="1080"/>
      </w:pPr>
    </w:p>
    <w:p w:rsidR="000C30DE" w:rsidRDefault="000C30DE" w:rsidP="000C30DE">
      <w:pPr>
        <w:pStyle w:val="ListParagraph"/>
        <w:numPr>
          <w:ilvl w:val="0"/>
          <w:numId w:val="2"/>
        </w:numPr>
      </w:pPr>
      <w:r>
        <w:t xml:space="preserve">In </w:t>
      </w:r>
      <w:r w:rsidRPr="0072346E">
        <w:rPr>
          <w:i/>
        </w:rPr>
        <w:t>Case C-364/10, Hungary v Slovak Republic</w:t>
      </w:r>
      <w:r>
        <w:t xml:space="preserve"> , Advocate General Bot </w:t>
      </w:r>
      <w:r w:rsidRPr="000C30DE">
        <w:t>suggested that the diplomatic co</w:t>
      </w:r>
      <w:r>
        <w:t xml:space="preserve">mpetence of a Member State </w:t>
      </w:r>
      <w:r w:rsidRPr="000C30DE">
        <w:t>ought not to be exercised “in a manner that might lead to a lasting break in diplomatic relations between two Member States. Such a break would be incompatible with the integration process aimed at….creating ‘an ever closer union’ … and would [undermine</w:t>
      </w:r>
      <w:r>
        <w:t>] the aim of…promoting peace”. In its judgment, the Court</w:t>
      </w:r>
      <w:r w:rsidR="00312D5D">
        <w:t xml:space="preserve"> </w:t>
      </w:r>
      <w:r w:rsidRPr="000C30DE">
        <w:t>did not r</w:t>
      </w:r>
      <w:r w:rsidR="00F326B2">
        <w:t>efer to ever closer union</w:t>
      </w:r>
      <w:r w:rsidRPr="000C30DE">
        <w:t>.</w:t>
      </w:r>
      <w:r>
        <w:t xml:space="preserve"> If the Court had </w:t>
      </w:r>
      <w:r w:rsidR="0072346E">
        <w:t xml:space="preserve">had </w:t>
      </w:r>
      <w:r>
        <w:t>expansionist am</w:t>
      </w:r>
      <w:r w:rsidR="00280932">
        <w:t>bitions, it could have done so.</w:t>
      </w:r>
      <w:r>
        <w:t xml:space="preserve"> </w:t>
      </w:r>
    </w:p>
    <w:p w:rsidR="0072346E" w:rsidRDefault="007549EF" w:rsidP="00853DFC">
      <w:r>
        <w:t xml:space="preserve">Having </w:t>
      </w:r>
      <w:r w:rsidR="00280932">
        <w:t xml:space="preserve">regard to the aspirational </w:t>
      </w:r>
      <w:r w:rsidR="00F0074A" w:rsidRPr="00F0074A">
        <w:t xml:space="preserve">language </w:t>
      </w:r>
      <w:r w:rsidR="009C1C26">
        <w:t xml:space="preserve">of Article 1(2) </w:t>
      </w:r>
      <w:r w:rsidR="00312D5D">
        <w:t xml:space="preserve">and the current state of the </w:t>
      </w:r>
      <w:r>
        <w:t xml:space="preserve">Court’s jurisprudence, it is reasonable to conclude that the </w:t>
      </w:r>
      <w:r w:rsidR="000D6E0B">
        <w:t xml:space="preserve">concept </w:t>
      </w:r>
      <w:r w:rsidR="00280932">
        <w:t xml:space="preserve">is primarily a </w:t>
      </w:r>
      <w:r w:rsidR="00153C8F">
        <w:t xml:space="preserve">political </w:t>
      </w:r>
      <w:r w:rsidR="00DF688F">
        <w:t>one</w:t>
      </w:r>
      <w:r w:rsidR="00F0074A" w:rsidRPr="00F0074A">
        <w:t>. Moreover, having regard to the scheme of the treaties which clearly signal law</w:t>
      </w:r>
      <w:r w:rsidR="00312D5D">
        <w:t xml:space="preserve"> </w:t>
      </w:r>
      <w:r w:rsidR="00F0074A" w:rsidRPr="00F0074A">
        <w:t xml:space="preserve">making functions where they are intended, it is not a legal basis for the adoption of EU legislation. </w:t>
      </w:r>
    </w:p>
    <w:p w:rsidR="00F0074A" w:rsidRDefault="00F0074A" w:rsidP="00853DFC">
      <w:r w:rsidRPr="00F0074A">
        <w:t>But that does</w:t>
      </w:r>
      <w:r w:rsidR="000D6E0B">
        <w:t xml:space="preserve"> not mean that the concept</w:t>
      </w:r>
      <w:r w:rsidRPr="00F0074A">
        <w:t xml:space="preserve"> has no legal weight.  </w:t>
      </w:r>
      <w:r w:rsidR="0072346E">
        <w:t xml:space="preserve">Most obviously, </w:t>
      </w:r>
      <w:r w:rsidR="007549EF">
        <w:t>t</w:t>
      </w:r>
      <w:r w:rsidR="00312D5D">
        <w:t>he Court of Justice</w:t>
      </w:r>
      <w:r w:rsidRPr="00F0074A">
        <w:t xml:space="preserve"> is pre</w:t>
      </w:r>
      <w:r w:rsidR="00312D5D">
        <w:t>pared to use general principles</w:t>
      </w:r>
      <w:r w:rsidRPr="00F0074A">
        <w:t xml:space="preserve"> as an interpretative</w:t>
      </w:r>
      <w:r w:rsidR="00F326B2">
        <w:t xml:space="preserve"> tool.  If faced with a lack of clarity</w:t>
      </w:r>
      <w:r w:rsidRPr="00F0074A">
        <w:t xml:space="preserve">, </w:t>
      </w:r>
      <w:r w:rsidR="00F326B2">
        <w:t>for example,</w:t>
      </w:r>
      <w:r w:rsidR="009C1C26">
        <w:t xml:space="preserve"> </w:t>
      </w:r>
      <w:r w:rsidRPr="00F0074A">
        <w:t>it has been willing to cho</w:t>
      </w:r>
      <w:r w:rsidR="00F326B2">
        <w:t>ose an interpretative route which</w:t>
      </w:r>
      <w:r w:rsidRPr="00F0074A">
        <w:t xml:space="preserve"> supports what it regar</w:t>
      </w:r>
      <w:r w:rsidR="00280932">
        <w:t xml:space="preserve">ds as a common EU outcome and accordingly </w:t>
      </w:r>
      <w:r w:rsidRPr="00F0074A">
        <w:t>could rely on aspirational language such as a commitment to “ever closer union”</w:t>
      </w:r>
      <w:r w:rsidR="00F326B2">
        <w:t xml:space="preserve"> to develop its jurisprudence. </w:t>
      </w:r>
      <w:r w:rsidR="00EF35DC">
        <w:t xml:space="preserve">There have also been </w:t>
      </w:r>
      <w:r w:rsidR="00EF35DC">
        <w:rPr>
          <w:i/>
        </w:rPr>
        <w:t xml:space="preserve">ex curia </w:t>
      </w:r>
      <w:r w:rsidR="00EF35DC">
        <w:t xml:space="preserve">observations made </w:t>
      </w:r>
      <w:r w:rsidR="00EF35DC">
        <w:lastRenderedPageBreak/>
        <w:t xml:space="preserve">by more than one CJEU judge to this effect. </w:t>
      </w:r>
      <w:r w:rsidR="00EF35DC">
        <w:rPr>
          <w:i/>
        </w:rPr>
        <w:t xml:space="preserve"> </w:t>
      </w:r>
      <w:r w:rsidRPr="00F0074A">
        <w:t xml:space="preserve">Some commentators would understandably regard </w:t>
      </w:r>
      <w:r w:rsidR="007549EF">
        <w:t>this as evidence of a centralising focus</w:t>
      </w:r>
      <w:r w:rsidR="002212CB">
        <w:t>.</w:t>
      </w:r>
      <w:r w:rsidR="007549EF">
        <w:t xml:space="preserve">  </w:t>
      </w:r>
      <w:r w:rsidR="00280932">
        <w:t xml:space="preserve"> But</w:t>
      </w:r>
      <w:r w:rsidR="000D5FDB">
        <w:t xml:space="preserve">, while the Court is </w:t>
      </w:r>
      <w:r w:rsidR="00F326B2">
        <w:t xml:space="preserve">often </w:t>
      </w:r>
      <w:r w:rsidR="000D5FDB">
        <w:t>prepared to</w:t>
      </w:r>
      <w:r w:rsidR="00312D5D">
        <w:t xml:space="preserve"> adopt a teleological approach,</w:t>
      </w:r>
      <w:r w:rsidR="00280932">
        <w:t xml:space="preserve"> its legal impact </w:t>
      </w:r>
      <w:r w:rsidR="00DF688F">
        <w:t xml:space="preserve">in the case law </w:t>
      </w:r>
      <w:r w:rsidR="00F326B2">
        <w:t>hitherto</w:t>
      </w:r>
      <w:r w:rsidRPr="00F0074A">
        <w:t xml:space="preserve"> ha</w:t>
      </w:r>
      <w:r w:rsidR="00DF688F">
        <w:t>s been limited</w:t>
      </w:r>
      <w:r w:rsidR="002212CB">
        <w:t>.</w:t>
      </w:r>
    </w:p>
    <w:p w:rsidR="006C462C" w:rsidRPr="002C16A1" w:rsidRDefault="001D6E47" w:rsidP="002C16A1">
      <w:r w:rsidRPr="00AF763A">
        <w:rPr>
          <w:b/>
          <w:i/>
        </w:rPr>
        <w:t xml:space="preserve">The EU’s response to the UK </w:t>
      </w:r>
      <w:r w:rsidR="006C462C" w:rsidRPr="00635A73">
        <w:t>A</w:t>
      </w:r>
      <w:r w:rsidR="001C4D10" w:rsidRPr="00635A73">
        <w:t xml:space="preserve"> draft Decision </w:t>
      </w:r>
      <w:r w:rsidR="00F326B2">
        <w:t>(“the Decision”)</w:t>
      </w:r>
      <w:r w:rsidR="001C4D10" w:rsidRPr="00635A73">
        <w:t xml:space="preserve"> is attached to the Conclusions of the European Council. The Conclusions state that that t</w:t>
      </w:r>
      <w:r w:rsidR="002212CB">
        <w:t>he Decision is “legally binding</w:t>
      </w:r>
      <w:r w:rsidR="001C4D10" w:rsidRPr="00635A73">
        <w:t xml:space="preserve">, and may be amended or repealed </w:t>
      </w:r>
      <w:r w:rsidR="00AD2242" w:rsidRPr="00635A73">
        <w:t>only by common accord of the…Member States</w:t>
      </w:r>
      <w:r w:rsidR="002212CB">
        <w:t>…</w:t>
      </w:r>
      <w:r w:rsidR="00AD2242" w:rsidRPr="00635A73">
        <w:t xml:space="preserve">” </w:t>
      </w:r>
      <w:r w:rsidRPr="00635A73">
        <w:t xml:space="preserve"> </w:t>
      </w:r>
      <w:r w:rsidR="002212CB">
        <w:t xml:space="preserve">The </w:t>
      </w:r>
      <w:r w:rsidR="00153C8F" w:rsidRPr="00635A73">
        <w:t xml:space="preserve">Decision will take effect on the date when the UK notifies the EU Secretary General that it has decided to remain a member of the EU.  The substance of the Decision will be incorporated into the Treaties when they are next amended in </w:t>
      </w:r>
      <w:r w:rsidR="002212CB">
        <w:t xml:space="preserve">accordance with the procedures </w:t>
      </w:r>
      <w:r w:rsidR="00153C8F" w:rsidRPr="00635A73">
        <w:t>in the Treaties and in line with the constituti</w:t>
      </w:r>
      <w:r w:rsidR="002212CB">
        <w:t xml:space="preserve">ons of the Member States. That </w:t>
      </w:r>
      <w:r w:rsidR="00F326B2">
        <w:t xml:space="preserve">language </w:t>
      </w:r>
      <w:r w:rsidR="00153C8F" w:rsidRPr="00635A73">
        <w:t>reflects the requirements of the EU treaties’ revision</w:t>
      </w:r>
      <w:r w:rsidR="00F326B2">
        <w:t xml:space="preserve"> procedures in Article 48 (TEU)</w:t>
      </w:r>
      <w:r w:rsidR="00153C8F" w:rsidRPr="00635A73">
        <w:t xml:space="preserve">. </w:t>
      </w:r>
    </w:p>
    <w:p w:rsidR="006C462C" w:rsidRPr="00635A73" w:rsidRDefault="001D6E47" w:rsidP="00AF763A">
      <w:r w:rsidRPr="00635A73">
        <w:t>The</w:t>
      </w:r>
      <w:r w:rsidR="003A2EFC" w:rsidRPr="00635A73">
        <w:t xml:space="preserve"> substantive </w:t>
      </w:r>
      <w:r w:rsidRPr="00635A73">
        <w:t>c</w:t>
      </w:r>
      <w:r w:rsidR="006C462C" w:rsidRPr="00635A73">
        <w:t xml:space="preserve">ontent of the Decision </w:t>
      </w:r>
      <w:r w:rsidR="003A2EFC" w:rsidRPr="00635A73">
        <w:t>recognises that</w:t>
      </w:r>
      <w:r w:rsidR="00A771D1" w:rsidRPr="00635A73">
        <w:t xml:space="preserve"> </w:t>
      </w:r>
      <w:r w:rsidR="003A2EFC" w:rsidRPr="00635A73">
        <w:t>the UK is not committed to further politica</w:t>
      </w:r>
      <w:r w:rsidR="006C462C" w:rsidRPr="00635A73">
        <w:t>l integration. The Decision also states</w:t>
      </w:r>
      <w:r w:rsidR="007E41D8">
        <w:t>: “</w:t>
      </w:r>
      <w:r w:rsidR="0063062F" w:rsidRPr="00635A73">
        <w:t>…the references</w:t>
      </w:r>
      <w:r w:rsidR="003A2EFC" w:rsidRPr="00635A73">
        <w:t xml:space="preserve"> in the Treaties …</w:t>
      </w:r>
      <w:r w:rsidR="0063062F" w:rsidRPr="00635A73">
        <w:t xml:space="preserve"> to </w:t>
      </w:r>
      <w:r w:rsidR="003A2EFC" w:rsidRPr="00635A73">
        <w:t>…</w:t>
      </w:r>
      <w:r w:rsidR="0063062F" w:rsidRPr="00635A73">
        <w:t xml:space="preserve">an ever closer union …do not offer a </w:t>
      </w:r>
      <w:r w:rsidR="003A2EFC" w:rsidRPr="00635A73">
        <w:t xml:space="preserve">legal </w:t>
      </w:r>
      <w:r w:rsidR="0063062F" w:rsidRPr="00635A73">
        <w:t>basis for extending the scope of any provision of the Treaties or of EU secondary legislation. They should not be used either to support an extensive interpretation of the competences of the Union or of the powers of the institutions …</w:t>
      </w:r>
      <w:r w:rsidR="006B74E0" w:rsidRPr="00635A73">
        <w:t xml:space="preserve"> </w:t>
      </w:r>
      <w:r w:rsidR="006C462C" w:rsidRPr="00635A73">
        <w:t xml:space="preserve">These references do not alter the limits of Union competence governed by the principle of conferral , or the use of Union competence governed by the principles of subsidiarity and proportionality…” </w:t>
      </w:r>
    </w:p>
    <w:p w:rsidR="00961149" w:rsidRPr="00635A73" w:rsidRDefault="00DD46E7" w:rsidP="00AF763A">
      <w:r>
        <w:t>Th</w:t>
      </w:r>
      <w:r w:rsidR="000D6E0B">
        <w:t>e Decision</w:t>
      </w:r>
      <w:r>
        <w:t xml:space="preserve"> thus </w:t>
      </w:r>
      <w:r w:rsidR="000D6E0B">
        <w:t xml:space="preserve">confirms </w:t>
      </w:r>
      <w:r w:rsidR="002C16A1">
        <w:t xml:space="preserve">the Member States’ view </w:t>
      </w:r>
      <w:r w:rsidR="00A771D1" w:rsidRPr="00635A73">
        <w:t xml:space="preserve">that “ever closer </w:t>
      </w:r>
      <w:r>
        <w:t xml:space="preserve">union” is a political concept and </w:t>
      </w:r>
      <w:r w:rsidR="00A771D1" w:rsidRPr="00635A73">
        <w:t>that the UK is not committed to “further political integration</w:t>
      </w:r>
      <w:r w:rsidR="000D6E0B">
        <w:t>”.  Moreover</w:t>
      </w:r>
      <w:r w:rsidR="002C16A1">
        <w:t xml:space="preserve"> </w:t>
      </w:r>
      <w:r w:rsidR="000D6E0B">
        <w:t xml:space="preserve">the concept </w:t>
      </w:r>
      <w:r w:rsidR="00A771D1" w:rsidRPr="00635A73">
        <w:t xml:space="preserve">neither extends any existing </w:t>
      </w:r>
      <w:r w:rsidR="007E41D8">
        <w:t xml:space="preserve">  legal basis for further</w:t>
      </w:r>
      <w:r w:rsidR="00A771D1" w:rsidRPr="00635A73">
        <w:t xml:space="preserve"> EU action nor alter</w:t>
      </w:r>
      <w:r w:rsidR="002C16A1">
        <w:t>s the limits of EU competence.  I</w:t>
      </w:r>
      <w:r w:rsidR="00A771D1" w:rsidRPr="00635A73">
        <w:t>n a clear</w:t>
      </w:r>
      <w:r w:rsidR="00153C8F" w:rsidRPr="00635A73">
        <w:t xml:space="preserve">, collective </w:t>
      </w:r>
      <w:r w:rsidR="007E41D8">
        <w:t>signal to the Court of Justice</w:t>
      </w:r>
      <w:r w:rsidR="00A771D1" w:rsidRPr="00635A73">
        <w:t xml:space="preserve">, the Member States do not consider that “ever closer union” should be used to </w:t>
      </w:r>
      <w:r w:rsidR="00635A73" w:rsidRPr="00635A73">
        <w:t xml:space="preserve">support an expansive interpretation of </w:t>
      </w:r>
      <w:r w:rsidR="00A771D1" w:rsidRPr="00635A73">
        <w:t xml:space="preserve">EU competence. </w:t>
      </w:r>
    </w:p>
    <w:p w:rsidR="000B1CEA" w:rsidRDefault="006F7B9E" w:rsidP="00AF763A">
      <w:pPr>
        <w:rPr>
          <w:color w:val="000000" w:themeColor="text1"/>
        </w:rPr>
      </w:pPr>
      <w:r w:rsidRPr="00AF763A">
        <w:rPr>
          <w:color w:val="000000" w:themeColor="text1"/>
        </w:rPr>
        <w:t>The Decision will not be a d</w:t>
      </w:r>
      <w:r w:rsidR="007E41D8">
        <w:rPr>
          <w:color w:val="000000" w:themeColor="text1"/>
        </w:rPr>
        <w:t>ecision of the European Council</w:t>
      </w:r>
      <w:r w:rsidRPr="00AF763A">
        <w:rPr>
          <w:color w:val="000000" w:themeColor="text1"/>
        </w:rPr>
        <w:t>. Rather t</w:t>
      </w:r>
      <w:r w:rsidR="007E41D8">
        <w:rPr>
          <w:color w:val="000000" w:themeColor="text1"/>
        </w:rPr>
        <w:t xml:space="preserve">he </w:t>
      </w:r>
      <w:r w:rsidR="00DD46E7">
        <w:rPr>
          <w:color w:val="000000" w:themeColor="text1"/>
        </w:rPr>
        <w:t>Decision is</w:t>
      </w:r>
      <w:r w:rsidR="007E41D8">
        <w:rPr>
          <w:color w:val="000000" w:themeColor="text1"/>
        </w:rPr>
        <w:t xml:space="preserve"> </w:t>
      </w:r>
      <w:r w:rsidR="00A455DB" w:rsidRPr="00AF763A">
        <w:rPr>
          <w:color w:val="000000" w:themeColor="text1"/>
        </w:rPr>
        <w:t>an intergovernment</w:t>
      </w:r>
      <w:r w:rsidR="000475BB">
        <w:rPr>
          <w:color w:val="000000" w:themeColor="text1"/>
        </w:rPr>
        <w:t xml:space="preserve">al agreement which, if </w:t>
      </w:r>
      <w:r w:rsidR="00153C8F" w:rsidRPr="00AF763A">
        <w:rPr>
          <w:color w:val="000000" w:themeColor="text1"/>
        </w:rPr>
        <w:t xml:space="preserve">deposited at the UN and </w:t>
      </w:r>
      <w:r w:rsidR="00A455DB" w:rsidRPr="00AF763A">
        <w:rPr>
          <w:color w:val="000000" w:themeColor="text1"/>
        </w:rPr>
        <w:t>r</w:t>
      </w:r>
      <w:r w:rsidR="000475BB">
        <w:rPr>
          <w:color w:val="000000" w:themeColor="text1"/>
        </w:rPr>
        <w:t>atified by each Member State (as</w:t>
      </w:r>
      <w:r w:rsidR="00A455DB" w:rsidRPr="00AF763A">
        <w:rPr>
          <w:color w:val="000000" w:themeColor="text1"/>
        </w:rPr>
        <w:t xml:space="preserve">  necessary under each</w:t>
      </w:r>
      <w:r w:rsidR="007E41D8">
        <w:rPr>
          <w:color w:val="000000" w:themeColor="text1"/>
        </w:rPr>
        <w:t xml:space="preserve"> Member State’s laws) , would  </w:t>
      </w:r>
      <w:r w:rsidR="00A455DB" w:rsidRPr="00AF763A">
        <w:rPr>
          <w:color w:val="000000" w:themeColor="text1"/>
        </w:rPr>
        <w:t>have binding  effect in Public International Law. Specifically,</w:t>
      </w:r>
      <w:r w:rsidR="000475BB">
        <w:rPr>
          <w:color w:val="000000" w:themeColor="text1"/>
        </w:rPr>
        <w:t xml:space="preserve"> as to the section of the </w:t>
      </w:r>
      <w:r w:rsidR="00A455DB" w:rsidRPr="00AF763A">
        <w:rPr>
          <w:color w:val="000000" w:themeColor="text1"/>
        </w:rPr>
        <w:t>Decision on the meaning of “</w:t>
      </w:r>
      <w:r w:rsidR="000475BB">
        <w:rPr>
          <w:color w:val="000000" w:themeColor="text1"/>
        </w:rPr>
        <w:t>ever closer union”, Article 31(1)</w:t>
      </w:r>
      <w:r w:rsidR="00A455DB" w:rsidRPr="00AF763A">
        <w:rPr>
          <w:color w:val="000000" w:themeColor="text1"/>
        </w:rPr>
        <w:t xml:space="preserve"> of the Vienna Convention on the Law of Treaties states that a </w:t>
      </w:r>
      <w:r w:rsidR="000475BB">
        <w:rPr>
          <w:color w:val="000000" w:themeColor="text1"/>
        </w:rPr>
        <w:t>treaty is to be interpre</w:t>
      </w:r>
      <w:r w:rsidR="007E41D8">
        <w:rPr>
          <w:color w:val="000000" w:themeColor="text1"/>
        </w:rPr>
        <w:t xml:space="preserve">ted according to its context. An </w:t>
      </w:r>
      <w:r w:rsidR="00000F23">
        <w:rPr>
          <w:color w:val="000000" w:themeColor="text1"/>
        </w:rPr>
        <w:t xml:space="preserve">agreement of all the </w:t>
      </w:r>
      <w:r w:rsidR="00EC67C0">
        <w:rPr>
          <w:color w:val="000000" w:themeColor="text1"/>
        </w:rPr>
        <w:t>parties relating to a</w:t>
      </w:r>
      <w:r w:rsidR="006A7D51">
        <w:rPr>
          <w:color w:val="000000" w:themeColor="text1"/>
        </w:rPr>
        <w:t xml:space="preserve"> treaty </w:t>
      </w:r>
      <w:r w:rsidR="00EC67C0">
        <w:rPr>
          <w:color w:val="000000" w:themeColor="text1"/>
        </w:rPr>
        <w:t xml:space="preserve">made between the same parties </w:t>
      </w:r>
      <w:r w:rsidR="00000F23">
        <w:rPr>
          <w:color w:val="000000" w:themeColor="text1"/>
        </w:rPr>
        <w:t xml:space="preserve"> </w:t>
      </w:r>
      <w:r w:rsidR="006A7D51">
        <w:rPr>
          <w:color w:val="000000" w:themeColor="text1"/>
        </w:rPr>
        <w:t xml:space="preserve">is to be regarded </w:t>
      </w:r>
      <w:r w:rsidR="000475BB">
        <w:rPr>
          <w:color w:val="000000" w:themeColor="text1"/>
        </w:rPr>
        <w:t xml:space="preserve">(Article 31 (2)) </w:t>
      </w:r>
      <w:r w:rsidR="006A7D51">
        <w:rPr>
          <w:color w:val="000000" w:themeColor="text1"/>
        </w:rPr>
        <w:t xml:space="preserve">as part of the context </w:t>
      </w:r>
      <w:r w:rsidR="00A455DB" w:rsidRPr="00AF763A">
        <w:rPr>
          <w:color w:val="000000" w:themeColor="text1"/>
        </w:rPr>
        <w:t>leading to t</w:t>
      </w:r>
      <w:r w:rsidR="007E41D8">
        <w:rPr>
          <w:color w:val="000000" w:themeColor="text1"/>
        </w:rPr>
        <w:t>he making of that</w:t>
      </w:r>
      <w:r w:rsidR="000475BB">
        <w:rPr>
          <w:color w:val="000000" w:themeColor="text1"/>
        </w:rPr>
        <w:t xml:space="preserve"> treaty.  Moreover Article 31 (3)</w:t>
      </w:r>
      <w:r w:rsidR="006A7D51">
        <w:rPr>
          <w:color w:val="000000" w:themeColor="text1"/>
        </w:rPr>
        <w:t xml:space="preserve"> </w:t>
      </w:r>
      <w:r w:rsidR="00EC67C0">
        <w:rPr>
          <w:color w:val="000000" w:themeColor="text1"/>
        </w:rPr>
        <w:t>(a) expressly requires</w:t>
      </w:r>
      <w:r w:rsidR="000475BB">
        <w:rPr>
          <w:color w:val="000000" w:themeColor="text1"/>
        </w:rPr>
        <w:t xml:space="preserve"> that a subsequent  agreement between the same parties</w:t>
      </w:r>
      <w:r w:rsidR="006A7D51">
        <w:rPr>
          <w:color w:val="000000" w:themeColor="text1"/>
        </w:rPr>
        <w:t xml:space="preserve"> about the interpretation of an earlier treaty </w:t>
      </w:r>
      <w:r w:rsidR="00EC67C0">
        <w:rPr>
          <w:color w:val="000000" w:themeColor="text1"/>
        </w:rPr>
        <w:t xml:space="preserve">between them </w:t>
      </w:r>
      <w:r w:rsidR="006A7D51">
        <w:rPr>
          <w:color w:val="000000" w:themeColor="text1"/>
        </w:rPr>
        <w:t>should</w:t>
      </w:r>
      <w:r w:rsidR="000475BB">
        <w:rPr>
          <w:color w:val="000000" w:themeColor="text1"/>
        </w:rPr>
        <w:t xml:space="preserve"> be taken into account.  It is</w:t>
      </w:r>
      <w:r w:rsidR="00FE282E">
        <w:rPr>
          <w:color w:val="000000" w:themeColor="text1"/>
        </w:rPr>
        <w:t xml:space="preserve"> true that the </w:t>
      </w:r>
      <w:r w:rsidR="00153C8F" w:rsidRPr="00AF763A">
        <w:rPr>
          <w:color w:val="000000" w:themeColor="text1"/>
        </w:rPr>
        <w:t xml:space="preserve">Decision, until </w:t>
      </w:r>
      <w:r w:rsidR="00FE282E">
        <w:rPr>
          <w:color w:val="000000" w:themeColor="text1"/>
        </w:rPr>
        <w:t xml:space="preserve">its substance is </w:t>
      </w:r>
      <w:r w:rsidR="00153C8F" w:rsidRPr="00AF763A">
        <w:rPr>
          <w:color w:val="000000" w:themeColor="text1"/>
        </w:rPr>
        <w:t>incorporated into the EU treaties,</w:t>
      </w:r>
      <w:r w:rsidR="00A455DB" w:rsidRPr="00AF763A">
        <w:rPr>
          <w:color w:val="000000" w:themeColor="text1"/>
        </w:rPr>
        <w:t xml:space="preserve"> neither binds the Cour</w:t>
      </w:r>
      <w:r w:rsidR="006A7D51">
        <w:rPr>
          <w:color w:val="000000" w:themeColor="text1"/>
        </w:rPr>
        <w:t xml:space="preserve">t of Justice </w:t>
      </w:r>
      <w:r w:rsidR="00A455DB" w:rsidRPr="00AF763A">
        <w:rPr>
          <w:color w:val="000000" w:themeColor="text1"/>
        </w:rPr>
        <w:t xml:space="preserve">nor the </w:t>
      </w:r>
      <w:r w:rsidR="006A7D51">
        <w:rPr>
          <w:color w:val="000000" w:themeColor="text1"/>
        </w:rPr>
        <w:t>European Parliament</w:t>
      </w:r>
      <w:r w:rsidR="00A455DB" w:rsidRPr="00AF763A">
        <w:rPr>
          <w:color w:val="000000" w:themeColor="text1"/>
        </w:rPr>
        <w:t>.  Even s</w:t>
      </w:r>
      <w:r w:rsidR="000475BB">
        <w:rPr>
          <w:color w:val="000000" w:themeColor="text1"/>
        </w:rPr>
        <w:t xml:space="preserve">o, the </w:t>
      </w:r>
      <w:r w:rsidR="00EC67C0">
        <w:rPr>
          <w:color w:val="000000" w:themeColor="text1"/>
        </w:rPr>
        <w:t xml:space="preserve">Decision </w:t>
      </w:r>
      <w:r w:rsidR="006A7D51">
        <w:rPr>
          <w:color w:val="000000" w:themeColor="text1"/>
        </w:rPr>
        <w:t>would</w:t>
      </w:r>
      <w:r w:rsidR="00A455DB" w:rsidRPr="00AF763A">
        <w:rPr>
          <w:color w:val="000000" w:themeColor="text1"/>
        </w:rPr>
        <w:t>, in the lig</w:t>
      </w:r>
      <w:r w:rsidR="002C16A1">
        <w:rPr>
          <w:color w:val="000000" w:themeColor="text1"/>
        </w:rPr>
        <w:t xml:space="preserve">ht of the Vienna Convention </w:t>
      </w:r>
      <w:r w:rsidR="00A455DB" w:rsidRPr="00AF763A">
        <w:rPr>
          <w:color w:val="000000" w:themeColor="text1"/>
        </w:rPr>
        <w:t xml:space="preserve">,  carry persuasive weight in any proceedings in which the limits of the concept of “ever closer union” were  litigated before the Court of Justice. </w:t>
      </w:r>
    </w:p>
    <w:p w:rsidR="000D6E0B" w:rsidRPr="000E55F9" w:rsidRDefault="00586F83" w:rsidP="00AF763A">
      <w:pPr>
        <w:rPr>
          <w:color w:val="000000" w:themeColor="text1"/>
        </w:rPr>
      </w:pPr>
      <w:r>
        <w:rPr>
          <w:color w:val="000000" w:themeColor="text1"/>
        </w:rPr>
        <w:t>It may also be noted that the Court of Justice , i</w:t>
      </w:r>
      <w:r w:rsidR="000E55F9">
        <w:rPr>
          <w:color w:val="000000" w:themeColor="text1"/>
        </w:rPr>
        <w:t xml:space="preserve">n </w:t>
      </w:r>
      <w:r>
        <w:rPr>
          <w:i/>
          <w:color w:val="000000" w:themeColor="text1"/>
        </w:rPr>
        <w:t xml:space="preserve">Case C-135/08, Rottmann, </w:t>
      </w:r>
      <w:r>
        <w:rPr>
          <w:color w:val="000000" w:themeColor="text1"/>
        </w:rPr>
        <w:t xml:space="preserve">has itself </w:t>
      </w:r>
      <w:r w:rsidR="000E55F9">
        <w:rPr>
          <w:color w:val="000000" w:themeColor="text1"/>
        </w:rPr>
        <w:t xml:space="preserve"> accepted that a Declaration of the Member States on nationality of a Member State was to be taken into account as an aid to the interpretation of the EC Treaty . </w:t>
      </w:r>
    </w:p>
    <w:p w:rsidR="000454F2" w:rsidRPr="00AF763A" w:rsidRDefault="000D6E0B" w:rsidP="00AF763A">
      <w:pPr>
        <w:rPr>
          <w:color w:val="000000" w:themeColor="text1"/>
        </w:rPr>
      </w:pPr>
      <w:r>
        <w:rPr>
          <w:color w:val="000000" w:themeColor="text1"/>
        </w:rPr>
        <w:t xml:space="preserve">My conclusion is that </w:t>
      </w:r>
      <w:r w:rsidR="002C16A1">
        <w:rPr>
          <w:color w:val="000000" w:themeColor="text1"/>
        </w:rPr>
        <w:t xml:space="preserve">this part of the </w:t>
      </w:r>
      <w:r>
        <w:rPr>
          <w:color w:val="000000" w:themeColor="text1"/>
        </w:rPr>
        <w:t>Decision represent</w:t>
      </w:r>
      <w:r w:rsidR="00280932">
        <w:rPr>
          <w:color w:val="000000" w:themeColor="text1"/>
        </w:rPr>
        <w:t>s</w:t>
      </w:r>
      <w:r>
        <w:rPr>
          <w:color w:val="000000" w:themeColor="text1"/>
        </w:rPr>
        <w:t xml:space="preserve"> </w:t>
      </w:r>
      <w:r w:rsidR="00635A73">
        <w:t xml:space="preserve"> </w:t>
      </w:r>
      <w:r w:rsidR="00EC67C0">
        <w:t xml:space="preserve"> a positive </w:t>
      </w:r>
      <w:r w:rsidR="000454F2" w:rsidRPr="00635A73">
        <w:t>outcome</w:t>
      </w:r>
      <w:r w:rsidR="00280932">
        <w:t xml:space="preserve"> </w:t>
      </w:r>
      <w:r w:rsidR="000454F2" w:rsidRPr="00635A73">
        <w:t xml:space="preserve"> for the UK Government .</w:t>
      </w:r>
    </w:p>
    <w:p w:rsidR="006244E9" w:rsidRPr="006A7D51" w:rsidRDefault="006244E9" w:rsidP="006A7D51">
      <w:pPr>
        <w:rPr>
          <w:b/>
          <w:i/>
        </w:rPr>
      </w:pPr>
      <w:r w:rsidRPr="006A7D51">
        <w:rPr>
          <w:b/>
          <w:i/>
        </w:rPr>
        <w:t>Sovereignty – the role of national parliaments – subsidiarity and proportionality</w:t>
      </w:r>
    </w:p>
    <w:p w:rsidR="002C16A1" w:rsidRDefault="00C17334" w:rsidP="00AF763A">
      <w:r w:rsidRPr="00AF763A">
        <w:rPr>
          <w:b/>
          <w:i/>
        </w:rPr>
        <w:lastRenderedPageBreak/>
        <w:t xml:space="preserve">The perceived problem </w:t>
      </w:r>
      <w:r w:rsidR="006834EA">
        <w:t xml:space="preserve">There is frequent criticism </w:t>
      </w:r>
      <w:r w:rsidR="001626EF">
        <w:t xml:space="preserve">of the EU institutions for </w:t>
      </w:r>
      <w:r w:rsidR="005452BE">
        <w:t xml:space="preserve">creating unnecessary </w:t>
      </w:r>
      <w:r w:rsidR="001626EF">
        <w:t>new E</w:t>
      </w:r>
      <w:r w:rsidR="005452BE">
        <w:t>U leg</w:t>
      </w:r>
      <w:r w:rsidR="002C16A1">
        <w:t xml:space="preserve">islation. As the Duchess said in </w:t>
      </w:r>
      <w:r w:rsidR="002C16A1" w:rsidRPr="002C16A1">
        <w:rPr>
          <w:i/>
        </w:rPr>
        <w:t>Alice in Wonderland</w:t>
      </w:r>
      <w:r w:rsidR="005452BE">
        <w:t>, “if ever</w:t>
      </w:r>
      <w:r w:rsidR="00000F23">
        <w:t>ybody minded their own business</w:t>
      </w:r>
      <w:r w:rsidR="005452BE">
        <w:t xml:space="preserve">, the world would go round faster than it does.” </w:t>
      </w:r>
      <w:r w:rsidR="006244E9">
        <w:t xml:space="preserve"> </w:t>
      </w:r>
    </w:p>
    <w:p w:rsidR="006244E9" w:rsidRDefault="005452BE" w:rsidP="00AF763A">
      <w:r>
        <w:t>To strengthen de</w:t>
      </w:r>
      <w:r w:rsidR="006A7D51">
        <w:t xml:space="preserve">mocratic accountability for EU </w:t>
      </w:r>
      <w:r>
        <w:t xml:space="preserve">legislation, the </w:t>
      </w:r>
      <w:r w:rsidR="000D6E0B">
        <w:t>UK Government</w:t>
      </w:r>
      <w:r w:rsidR="001626EF">
        <w:t xml:space="preserve"> argued </w:t>
      </w:r>
      <w:r w:rsidR="006244E9">
        <w:t>th</w:t>
      </w:r>
      <w:r w:rsidR="00EC67C0">
        <w:t xml:space="preserve">at national parliaments should </w:t>
      </w:r>
      <w:r w:rsidR="006244E9">
        <w:t>be able to work together to block unwan</w:t>
      </w:r>
      <w:r w:rsidR="00C17334">
        <w:t>ted European legislation .</w:t>
      </w:r>
      <w:r w:rsidR="00100900">
        <w:t xml:space="preserve"> To understand the EU’s response, it is necessary briefly to describe the current position. </w:t>
      </w:r>
    </w:p>
    <w:p w:rsidR="006244E9" w:rsidRDefault="00100900" w:rsidP="00AF763A">
      <w:r>
        <w:t>The Decision confirms</w:t>
      </w:r>
      <w:r w:rsidR="00110DED" w:rsidRPr="00635A73">
        <w:t xml:space="preserve"> </w:t>
      </w:r>
      <w:r w:rsidR="006942DE" w:rsidRPr="00635A73">
        <w:t>that</w:t>
      </w:r>
      <w:r w:rsidR="006942DE">
        <w:t xml:space="preserve"> </w:t>
      </w:r>
      <w:r>
        <w:t>“unwanted”</w:t>
      </w:r>
      <w:r w:rsidR="000D6E0B">
        <w:t xml:space="preserve"> legislation is </w:t>
      </w:r>
      <w:r w:rsidR="006244E9">
        <w:t>legislation that is not compatible with the principle of subsidiarity. Under the principle of subsidiarity, save where a proposal for legislation is within the sole competence of the EU</w:t>
      </w:r>
      <w:r w:rsidR="00FE282E">
        <w:t xml:space="preserve">, </w:t>
      </w:r>
      <w:r w:rsidR="005452BE">
        <w:t xml:space="preserve"> </w:t>
      </w:r>
      <w:r w:rsidR="006244E9">
        <w:t xml:space="preserve"> “the Union shall act only if and insofar as the objectives of the proposed action cannot be sufficiently achieved by the Member States...but can rather, by reason of the scale or effects of the proposed action, be better achieved at Union level” (</w:t>
      </w:r>
      <w:r w:rsidR="006244E9" w:rsidRPr="00AF763A">
        <w:rPr>
          <w:i/>
        </w:rPr>
        <w:t>Article 5(3) TEU</w:t>
      </w:r>
      <w:r w:rsidR="006244E9">
        <w:t>).</w:t>
      </w:r>
      <w:r w:rsidR="00B87015">
        <w:t xml:space="preserve"> So there are two complementary concepts in play , namely, “cannot be sufficiently achieved” and “ can  be better achieved”. </w:t>
      </w:r>
    </w:p>
    <w:p w:rsidR="006244E9" w:rsidRDefault="0016361A" w:rsidP="00AF763A">
      <w:r w:rsidRPr="00635A73">
        <w:t>For the reasons given below, if</w:t>
      </w:r>
      <w:r w:rsidR="00961149" w:rsidRPr="00635A73">
        <w:t xml:space="preserve"> the UK had wanted to be ambitious and to drive str</w:t>
      </w:r>
      <w:r w:rsidR="00A34476" w:rsidRPr="00635A73">
        <w:t>onger reform, “[U]nwanted” could</w:t>
      </w:r>
      <w:r w:rsidR="00100900">
        <w:t xml:space="preserve"> additionally </w:t>
      </w:r>
      <w:r w:rsidR="00961149" w:rsidRPr="00635A73">
        <w:t>have encompassed</w:t>
      </w:r>
      <w:r w:rsidR="00961149">
        <w:t xml:space="preserve"> </w:t>
      </w:r>
      <w:r w:rsidR="00C17334">
        <w:t xml:space="preserve">  EU legislation that is </w:t>
      </w:r>
      <w:r w:rsidR="006244E9">
        <w:t xml:space="preserve">incompatible with the principle of proportionality. Put another way: even if it is permissible for the EU, in the exercise of its discretion, to legislate, are the means adopted proportionate to the stated aim?  Under the principle of proportionality, </w:t>
      </w:r>
      <w:r w:rsidR="006244E9" w:rsidRPr="00AF763A">
        <w:rPr>
          <w:i/>
        </w:rPr>
        <w:t>Article 5(4)</w:t>
      </w:r>
      <w:r w:rsidR="006244E9">
        <w:t xml:space="preserve"> TEU says that “the content and form of Union action shall not exceed what is necessary to achieve the objectives of the Treaties”. </w:t>
      </w:r>
    </w:p>
    <w:p w:rsidR="006244E9" w:rsidRPr="00635A73" w:rsidRDefault="0016361A" w:rsidP="00AF763A">
      <w:r w:rsidRPr="00635A73">
        <w:t>The procedural changes to be made by t</w:t>
      </w:r>
      <w:r w:rsidR="00635A73">
        <w:t>he Decision build on</w:t>
      </w:r>
      <w:r w:rsidRPr="00635A73">
        <w:t xml:space="preserve"> the changes first made under the Lisbon Trea</w:t>
      </w:r>
      <w:r w:rsidR="00635A73">
        <w:t xml:space="preserve">ty, in which </w:t>
      </w:r>
      <w:r w:rsidR="006244E9" w:rsidRPr="00635A73">
        <w:t xml:space="preserve">provision was </w:t>
      </w:r>
      <w:r w:rsidRPr="00635A73">
        <w:t xml:space="preserve">first </w:t>
      </w:r>
      <w:r w:rsidR="006244E9" w:rsidRPr="00635A73">
        <w:t>made for n</w:t>
      </w:r>
      <w:r w:rsidRPr="00635A73">
        <w:t>ational parliaments</w:t>
      </w:r>
      <w:r w:rsidR="00EC67C0">
        <w:t xml:space="preserve"> </w:t>
      </w:r>
      <w:r w:rsidR="00635A73">
        <w:t>to undertake a scrutiny</w:t>
      </w:r>
      <w:r w:rsidR="006244E9" w:rsidRPr="00635A73">
        <w:t xml:space="preserve"> role</w:t>
      </w:r>
      <w:r w:rsidRPr="00635A73">
        <w:t xml:space="preserve"> in the EU legislative process. </w:t>
      </w:r>
      <w:r w:rsidR="006244E9" w:rsidRPr="00635A73">
        <w:t xml:space="preserve"> </w:t>
      </w:r>
    </w:p>
    <w:p w:rsidR="0022735B" w:rsidRDefault="0016361A" w:rsidP="00AF763A">
      <w:r>
        <w:t>In</w:t>
      </w:r>
      <w:r w:rsidR="006244E9">
        <w:t xml:space="preserve"> </w:t>
      </w:r>
      <w:r w:rsidR="006244E9" w:rsidRPr="00AF763A">
        <w:rPr>
          <w:i/>
        </w:rPr>
        <w:t>Protocol No 2 on the application of the principles of proportionality and subsidiarity</w:t>
      </w:r>
      <w:r w:rsidR="00A376C9" w:rsidRPr="00AF763A">
        <w:rPr>
          <w:i/>
        </w:rPr>
        <w:t xml:space="preserve"> </w:t>
      </w:r>
      <w:r w:rsidR="00A376C9">
        <w:t>(“Protocol No 2”</w:t>
      </w:r>
      <w:r w:rsidR="00635A73">
        <w:t xml:space="preserve"> introduced by Lisbon</w:t>
      </w:r>
      <w:r w:rsidR="00100900">
        <w:t>)</w:t>
      </w:r>
      <w:r w:rsidR="006244E9">
        <w:t>, Article 5 states that draft legislative acts must be justified as regards subsidiarity and proportionality. The draft act should contain a statement “making it possible to appraise compliance with ...subsidiarity and proportionality”, as well as some assessment of the fi</w:t>
      </w:r>
      <w:r w:rsidR="00FE282E">
        <w:t>nancial impacts of the proposal.</w:t>
      </w:r>
    </w:p>
    <w:p w:rsidR="00A376C9" w:rsidRDefault="0022735B" w:rsidP="00AF763A">
      <w:r>
        <w:t>W</w:t>
      </w:r>
      <w:r w:rsidR="006244E9">
        <w:t>ithin eight weeks of the transmission of a proposal, a national parliament has the right to submit a reasoned opinion to the EU institutions stating why it considers that a proposal is not compa</w:t>
      </w:r>
      <w:r>
        <w:t xml:space="preserve">tible with </w:t>
      </w:r>
      <w:r w:rsidR="006942DE">
        <w:t xml:space="preserve">subsidiarity . </w:t>
      </w:r>
    </w:p>
    <w:p w:rsidR="0022735B" w:rsidRDefault="006244E9" w:rsidP="00AF763A">
      <w:r w:rsidRPr="00AF763A">
        <w:rPr>
          <w:b/>
          <w:i/>
        </w:rPr>
        <w:t>The Yellow Card.</w:t>
      </w:r>
      <w:r>
        <w:t xml:space="preserve"> The EU institutions are bound to consider any reasoned opinions submitted. But if</w:t>
      </w:r>
      <w:r w:rsidR="00FE282E">
        <w:t>, under the</w:t>
      </w:r>
      <w:r w:rsidR="00C913FC">
        <w:t xml:space="preserve"> Treaty’s system for calculating </w:t>
      </w:r>
      <w:r w:rsidR="00FE282E">
        <w:t xml:space="preserve"> votes of national parliaments, </w:t>
      </w:r>
      <w:r>
        <w:t xml:space="preserve"> one third or more of the national parliaments object by reasoned opinion, the Commission is bound to conduct a more formal review. It has to give reasons for its decision to maintain, amend or withdraw the proposal. </w:t>
      </w:r>
    </w:p>
    <w:p w:rsidR="00995365" w:rsidRDefault="005452BE" w:rsidP="00AF763A">
      <w:r>
        <w:t xml:space="preserve">The Commission reports annually on the reasoned opinions submitted by national parliaments. </w:t>
      </w:r>
      <w:r w:rsidR="006244E9">
        <w:t>In one case</w:t>
      </w:r>
      <w:r>
        <w:t xml:space="preserve"> in 2013, </w:t>
      </w:r>
      <w:r w:rsidR="006244E9">
        <w:t xml:space="preserve"> the </w:t>
      </w:r>
      <w:r w:rsidR="006244E9" w:rsidRPr="00AF763A">
        <w:rPr>
          <w:i/>
        </w:rPr>
        <w:t>Regulation establishing a European Public Prosecutor’s Office</w:t>
      </w:r>
      <w:r w:rsidR="0022735B">
        <w:t xml:space="preserve"> (“EPP”), </w:t>
      </w:r>
      <w:r w:rsidR="006244E9">
        <w:t xml:space="preserve">13 reasoned opinions were submitted, representing 18 votes out of a possible 56  .Therefore the threshold for a </w:t>
      </w:r>
      <w:r w:rsidR="00767491">
        <w:t>yellow card had been crossed.  In response, t</w:t>
      </w:r>
      <w:r w:rsidR="006244E9">
        <w:t>he Commission did not accept any of the cr</w:t>
      </w:r>
      <w:r w:rsidR="00100900">
        <w:t>iticisms made of their approach. Instead</w:t>
      </w:r>
      <w:r w:rsidR="00B87015">
        <w:t xml:space="preserve"> they criticised the national parliaments’ approach on the </w:t>
      </w:r>
      <w:r w:rsidR="00B87015" w:rsidRPr="00AF763A">
        <w:rPr>
          <w:i/>
        </w:rPr>
        <w:t xml:space="preserve">EPP </w:t>
      </w:r>
      <w:r w:rsidR="00995365">
        <w:t xml:space="preserve">proposal, observing </w:t>
      </w:r>
      <w:r w:rsidR="00B87015">
        <w:t xml:space="preserve"> that: “ In analysing the reasoned opinions [on the EPP], the Commission distinguished between arguments relating to the principle of subsidiarity</w:t>
      </w:r>
      <w:r w:rsidR="00995365">
        <w:t>, or that could be interpreted as subsidiarity concerns, and other arguments relating to t</w:t>
      </w:r>
      <w:r w:rsidR="00C913FC">
        <w:t>he principle of proportionality</w:t>
      </w:r>
      <w:r w:rsidR="00995365">
        <w:t xml:space="preserve">, to policy choices unrelated to subsidiarity, or to other policy or legal choices”. </w:t>
      </w:r>
      <w:r w:rsidR="00B87015">
        <w:t xml:space="preserve"> </w:t>
      </w:r>
      <w:r w:rsidR="006244E9">
        <w:t xml:space="preserve"> </w:t>
      </w:r>
    </w:p>
    <w:p w:rsidR="0022735B" w:rsidRDefault="0004524F" w:rsidP="00AF763A">
      <w:r>
        <w:lastRenderedPageBreak/>
        <w:t xml:space="preserve">More </w:t>
      </w:r>
      <w:r w:rsidR="00995365">
        <w:t xml:space="preserve">significantly, perhaps, </w:t>
      </w:r>
      <w:r w:rsidR="006244E9">
        <w:t>the Commi</w:t>
      </w:r>
      <w:r w:rsidR="0097536B">
        <w:t xml:space="preserve">ssion ‘s approach has been that </w:t>
      </w:r>
      <w:r w:rsidR="0022735B">
        <w:t xml:space="preserve"> , if there were</w:t>
      </w:r>
      <w:r w:rsidR="006244E9">
        <w:t xml:space="preserve"> divergences in the approach of the Member States in</w:t>
      </w:r>
      <w:r w:rsidR="0022735B">
        <w:t xml:space="preserve"> a given context, that alone would</w:t>
      </w:r>
      <w:r w:rsidR="006244E9">
        <w:t xml:space="preserve"> justify EU action</w:t>
      </w:r>
      <w:r w:rsidR="00767491">
        <w:t xml:space="preserve"> (“would be better achieved”)  , even if action could be “</w:t>
      </w:r>
      <w:r w:rsidR="006244E9">
        <w:t>sufficient</w:t>
      </w:r>
      <w:r w:rsidR="00767491">
        <w:t>ly achieved” at Member State level</w:t>
      </w:r>
      <w:r w:rsidR="006244E9">
        <w:t xml:space="preserve">, albeit with divergences . </w:t>
      </w:r>
      <w:r w:rsidR="00110DED" w:rsidRPr="00261ACD">
        <w:t xml:space="preserve">The </w:t>
      </w:r>
      <w:r w:rsidR="00100900">
        <w:t xml:space="preserve">Commission’s </w:t>
      </w:r>
      <w:r w:rsidR="004A453D" w:rsidRPr="00261ACD">
        <w:t xml:space="preserve">approach implies </w:t>
      </w:r>
      <w:r w:rsidR="00110DED" w:rsidRPr="00261ACD">
        <w:t xml:space="preserve">that </w:t>
      </w:r>
      <w:r w:rsidR="00A86D61" w:rsidRPr="00261ACD">
        <w:t xml:space="preserve">there </w:t>
      </w:r>
      <w:r w:rsidR="00C17334" w:rsidRPr="00261ACD">
        <w:t xml:space="preserve">did not need to </w:t>
      </w:r>
      <w:r w:rsidR="006942DE" w:rsidRPr="00261ACD">
        <w:t xml:space="preserve">be any transnational element </w:t>
      </w:r>
      <w:r w:rsidR="00100900">
        <w:t>to justify a proposal</w:t>
      </w:r>
      <w:r w:rsidR="00110DED" w:rsidRPr="00261ACD">
        <w:t xml:space="preserve"> for legislation .</w:t>
      </w:r>
      <w:r w:rsidR="0097536B">
        <w:t xml:space="preserve"> </w:t>
      </w:r>
    </w:p>
    <w:p w:rsidR="0022735B" w:rsidRDefault="0097536B" w:rsidP="00AF763A">
      <w:r w:rsidRPr="00AF763A">
        <w:rPr>
          <w:b/>
          <w:i/>
        </w:rPr>
        <w:t>The Orange</w:t>
      </w:r>
      <w:r w:rsidR="006244E9" w:rsidRPr="00AF763A">
        <w:rPr>
          <w:b/>
          <w:i/>
        </w:rPr>
        <w:t xml:space="preserve"> Card</w:t>
      </w:r>
      <w:r w:rsidR="00DC45A9" w:rsidRPr="00AF763A">
        <w:rPr>
          <w:b/>
          <w:i/>
        </w:rPr>
        <w:t xml:space="preserve">. </w:t>
      </w:r>
      <w:r w:rsidR="006244E9">
        <w:t>The Lisbon Protoc</w:t>
      </w:r>
      <w:r>
        <w:t xml:space="preserve">ol also made provision for </w:t>
      </w:r>
      <w:r w:rsidR="00995365">
        <w:t>a procedure which is sometimes called the orange card procedure</w:t>
      </w:r>
      <w:r w:rsidR="006244E9">
        <w:t>. In the ordinary legislative procedure, if the number of negative reasoned opinions by national parliaments represent a simple majority of the votes of national parliaments but if the Commission nevertheless decides to maintain its proposal, the Council and the European Parliament are bound to consider the reasoned opinions. If 55% of Council members or a simple major</w:t>
      </w:r>
      <w:r w:rsidR="004D2FC4">
        <w:t xml:space="preserve">ity of the EP consider that the </w:t>
      </w:r>
      <w:r w:rsidR="006244E9">
        <w:t>proposal does not comply wit</w:t>
      </w:r>
      <w:r w:rsidR="00100900">
        <w:t>h the principle of subsidiarity</w:t>
      </w:r>
      <w:r w:rsidR="006244E9">
        <w:t>, the propos</w:t>
      </w:r>
      <w:r w:rsidR="00C17334">
        <w:t xml:space="preserve">al “shall not be given further consideration”. </w:t>
      </w:r>
      <w:r w:rsidR="006244E9">
        <w:t xml:space="preserve"> </w:t>
      </w:r>
    </w:p>
    <w:p w:rsidR="00110DED" w:rsidRPr="00261ACD" w:rsidRDefault="00C17334" w:rsidP="00AF763A">
      <w:r w:rsidRPr="00AF763A">
        <w:rPr>
          <w:b/>
          <w:i/>
        </w:rPr>
        <w:t>The EU’s response to the UK</w:t>
      </w:r>
      <w:r w:rsidR="00110DED" w:rsidRPr="00AF763A">
        <w:rPr>
          <w:b/>
          <w:i/>
        </w:rPr>
        <w:t>.</w:t>
      </w:r>
      <w:r w:rsidR="003D76A4" w:rsidRPr="00261ACD">
        <w:t xml:space="preserve"> </w:t>
      </w:r>
      <w:r w:rsidR="00FE282E">
        <w:t>N</w:t>
      </w:r>
      <w:r w:rsidR="00A86D61" w:rsidRPr="00261ACD">
        <w:t xml:space="preserve">ational parliaments may </w:t>
      </w:r>
      <w:r w:rsidR="00300B72" w:rsidRPr="00261ACD">
        <w:t xml:space="preserve">(as now) </w:t>
      </w:r>
      <w:r w:rsidR="00A86D61" w:rsidRPr="00261ACD">
        <w:t xml:space="preserve">submit reasoned opinions on </w:t>
      </w:r>
      <w:r w:rsidR="00100900">
        <w:t>the ground of subsidiarity</w:t>
      </w:r>
      <w:r w:rsidR="00C96F28">
        <w:t xml:space="preserve">, but </w:t>
      </w:r>
      <w:r w:rsidR="00A86D61" w:rsidRPr="00261ACD">
        <w:t xml:space="preserve">within </w:t>
      </w:r>
      <w:r w:rsidR="00C96F28">
        <w:t xml:space="preserve">an extended period of </w:t>
      </w:r>
      <w:r w:rsidR="00A86D61" w:rsidRPr="00C96F28">
        <w:t>twelve weeks</w:t>
      </w:r>
      <w:r w:rsidR="00A86D61" w:rsidRPr="00AF763A">
        <w:rPr>
          <w:i/>
        </w:rPr>
        <w:t xml:space="preserve"> </w:t>
      </w:r>
      <w:r w:rsidR="00C96F28">
        <w:t xml:space="preserve">from </w:t>
      </w:r>
      <w:r w:rsidR="00A86D61" w:rsidRPr="00261ACD">
        <w:t>transmission of the draft p</w:t>
      </w:r>
      <w:r w:rsidR="00C96F28">
        <w:t xml:space="preserve">roposal to them </w:t>
      </w:r>
      <w:r w:rsidR="00A86D61" w:rsidRPr="00261ACD">
        <w:t xml:space="preserve">. Where the votes of national parliaments amount to more than 55% of the votes allocated, the Council Presidency will </w:t>
      </w:r>
      <w:r w:rsidR="00A86D61" w:rsidRPr="00AF763A">
        <w:rPr>
          <w:i/>
        </w:rPr>
        <w:t>initiate a comprehensive discussion on the opinions and the consequences to be drawn from them</w:t>
      </w:r>
      <w:r w:rsidR="00300B72" w:rsidRPr="00AF763A">
        <w:rPr>
          <w:i/>
        </w:rPr>
        <w:t xml:space="preserve"> </w:t>
      </w:r>
      <w:r w:rsidR="00300B72" w:rsidRPr="00261ACD">
        <w:t xml:space="preserve"> </w:t>
      </w:r>
      <w:r w:rsidR="00A86D61" w:rsidRPr="00AF763A">
        <w:rPr>
          <w:i/>
        </w:rPr>
        <w:t xml:space="preserve">. </w:t>
      </w:r>
      <w:r w:rsidR="00EB2B3C" w:rsidRPr="00AF763A">
        <w:rPr>
          <w:i/>
        </w:rPr>
        <w:t xml:space="preserve"> </w:t>
      </w:r>
      <w:r w:rsidR="00EB2B3C" w:rsidRPr="00261ACD">
        <w:t>Consistently with the procedural requirem</w:t>
      </w:r>
      <w:r w:rsidR="00DD46E7">
        <w:t xml:space="preserve">ents under the EU treaties, </w:t>
      </w:r>
      <w:r w:rsidR="00EB2B3C" w:rsidRPr="00261ACD">
        <w:t>“</w:t>
      </w:r>
      <w:r w:rsidR="00DA30C0">
        <w:t xml:space="preserve">the representatives of the </w:t>
      </w:r>
      <w:r w:rsidR="00EB2B3C" w:rsidRPr="00261ACD">
        <w:t>Member States</w:t>
      </w:r>
      <w:r w:rsidR="00DA30C0">
        <w:t xml:space="preserve"> acting …as members of the Council</w:t>
      </w:r>
      <w:r w:rsidR="00EB2B3C" w:rsidRPr="00261ACD">
        <w:t xml:space="preserve"> will discontinue the consideration of the draft  legislative text </w:t>
      </w:r>
      <w:r w:rsidR="00EB2B3C" w:rsidRPr="00AF763A">
        <w:rPr>
          <w:i/>
        </w:rPr>
        <w:t>unless the draft is amended to accommodate the concerns expressed in the reasoned opinions” (</w:t>
      </w:r>
      <w:r w:rsidR="00EB2B3C" w:rsidRPr="00261ACD">
        <w:t xml:space="preserve">emphasis added). </w:t>
      </w:r>
      <w:r w:rsidR="00DA30C0">
        <w:t>This complex drafting seems to be intended to navigate the problem of reconverting a</w:t>
      </w:r>
      <w:r w:rsidR="00100900">
        <w:t xml:space="preserve">n intergovernmental commitment </w:t>
      </w:r>
      <w:r w:rsidR="00DA30C0">
        <w:t xml:space="preserve">into a decision of the Council itself. </w:t>
      </w:r>
    </w:p>
    <w:p w:rsidR="006244E9" w:rsidRDefault="00C913FC" w:rsidP="00AF763A">
      <w:r>
        <w:t>T</w:t>
      </w:r>
      <w:r w:rsidR="0022735B" w:rsidRPr="00261ACD">
        <w:t xml:space="preserve">here are </w:t>
      </w:r>
      <w:r w:rsidR="001C4572" w:rsidRPr="00261ACD">
        <w:t>three</w:t>
      </w:r>
      <w:r w:rsidR="00100900">
        <w:t xml:space="preserve"> </w:t>
      </w:r>
      <w:r>
        <w:t xml:space="preserve">points </w:t>
      </w:r>
      <w:r w:rsidR="004D2FC4" w:rsidRPr="00261ACD">
        <w:t>to make</w:t>
      </w:r>
      <w:r>
        <w:t xml:space="preserve"> about the EU response</w:t>
      </w:r>
      <w:r w:rsidR="004D2FC4" w:rsidRPr="00261ACD">
        <w:t>:</w:t>
      </w:r>
      <w:r w:rsidR="004D2FC4">
        <w:t xml:space="preserve"> </w:t>
      </w:r>
    </w:p>
    <w:p w:rsidR="006244E9" w:rsidRDefault="00100900" w:rsidP="0022735B">
      <w:pPr>
        <w:pStyle w:val="ListParagraph"/>
      </w:pPr>
      <w:r>
        <w:t>(a)</w:t>
      </w:r>
      <w:r w:rsidR="0097536B">
        <w:t>the yellow and orange</w:t>
      </w:r>
      <w:r w:rsidR="006244E9">
        <w:t xml:space="preserve"> card procedures are </w:t>
      </w:r>
      <w:r w:rsidR="00300B72" w:rsidRPr="00261ACD">
        <w:t>still</w:t>
      </w:r>
      <w:r w:rsidR="00300B72">
        <w:t xml:space="preserve"> </w:t>
      </w:r>
      <w:r w:rsidR="006244E9">
        <w:t>limited to reasoned opini</w:t>
      </w:r>
      <w:r w:rsidR="00375CB3">
        <w:t>ons</w:t>
      </w:r>
      <w:r w:rsidR="00EB2B3C">
        <w:t xml:space="preserve"> based on subsidiarity alone . </w:t>
      </w:r>
      <w:r w:rsidR="00EB2B3C" w:rsidRPr="00261ACD">
        <w:t>Yet</w:t>
      </w:r>
      <w:r w:rsidR="00EB2B3C" w:rsidRPr="00EB2B3C">
        <w:rPr>
          <w:i/>
        </w:rPr>
        <w:t xml:space="preserve"> </w:t>
      </w:r>
      <w:r w:rsidR="00EB2B3C">
        <w:t>hitherto, t</w:t>
      </w:r>
      <w:r w:rsidR="00375CB3">
        <w:t xml:space="preserve">he Commission has not, in general, been prepared to accept that its proposals have infringed the principle of </w:t>
      </w:r>
      <w:r w:rsidR="0050498E">
        <w:t>subsidiarity.</w:t>
      </w:r>
      <w:r w:rsidR="00EB2B3C">
        <w:t xml:space="preserve"> </w:t>
      </w:r>
    </w:p>
    <w:p w:rsidR="001C4572" w:rsidRPr="00261ACD" w:rsidRDefault="00100900" w:rsidP="001C4572">
      <w:pPr>
        <w:pStyle w:val="ListParagraph"/>
      </w:pPr>
      <w:r>
        <w:t>(b)</w:t>
      </w:r>
      <w:r w:rsidR="006244E9">
        <w:t xml:space="preserve">the </w:t>
      </w:r>
      <w:r w:rsidR="00AF00EE">
        <w:t xml:space="preserve">current </w:t>
      </w:r>
      <w:r w:rsidR="00375CB3">
        <w:t xml:space="preserve">operative </w:t>
      </w:r>
      <w:r w:rsidR="006244E9">
        <w:t>block on legislation</w:t>
      </w:r>
      <w:r w:rsidR="00EB2B3C">
        <w:t xml:space="preserve"> </w:t>
      </w:r>
      <w:r w:rsidR="00EB2B3C" w:rsidRPr="00261ACD">
        <w:t>under the Treaties</w:t>
      </w:r>
      <w:r w:rsidR="00067CEC" w:rsidRPr="00261ACD">
        <w:t xml:space="preserve"> is</w:t>
      </w:r>
      <w:r w:rsidR="006244E9">
        <w:t xml:space="preserve"> applied </w:t>
      </w:r>
      <w:r w:rsidR="00375CB3">
        <w:t>by the C</w:t>
      </w:r>
      <w:r w:rsidR="006244E9">
        <w:t>ouncil or</w:t>
      </w:r>
      <w:r w:rsidR="0050498E">
        <w:t xml:space="preserve"> by</w:t>
      </w:r>
      <w:r w:rsidR="006244E9">
        <w:t xml:space="preserve"> the Parli</w:t>
      </w:r>
      <w:r w:rsidR="00C87CE9">
        <w:t xml:space="preserve">ament. </w:t>
      </w:r>
      <w:r w:rsidR="001C7BCD" w:rsidRPr="00261ACD">
        <w:t xml:space="preserve">The Decision has </w:t>
      </w:r>
      <w:r w:rsidR="00261ACD">
        <w:t>had to be</w:t>
      </w:r>
      <w:r>
        <w:t xml:space="preserve"> drafted on that basis</w:t>
      </w:r>
      <w:r w:rsidR="00C0391A">
        <w:t>. The question whether a draft proposal has been amended to accommodate national parliaments’ concerns will be determined by the Council, not by the national parliaments.</w:t>
      </w:r>
    </w:p>
    <w:p w:rsidR="004A453D" w:rsidRDefault="001C7BCD" w:rsidP="004A453D">
      <w:pPr>
        <w:pStyle w:val="ListParagraph"/>
      </w:pPr>
      <w:r w:rsidRPr="00261ACD">
        <w:t xml:space="preserve">( c ) Helpfully, the </w:t>
      </w:r>
      <w:r w:rsidR="001C4572" w:rsidRPr="00261ACD">
        <w:t>Decision states that legislative action, if it is to comply with the principle of  subsidiarity</w:t>
      </w:r>
      <w:r w:rsidR="004A453D" w:rsidRPr="00261ACD">
        <w:t xml:space="preserve">, </w:t>
      </w:r>
      <w:r w:rsidR="001C4572" w:rsidRPr="00261ACD">
        <w:t xml:space="preserve"> must have “transnational aspects which cannot be satisfactorily </w:t>
      </w:r>
      <w:r w:rsidR="004A453D" w:rsidRPr="00261ACD">
        <w:t xml:space="preserve">regulated by action by member states and on whether action at Union level would produce clear benefits by reason of its scale or effects compared with actions at the level of Member States”. </w:t>
      </w:r>
    </w:p>
    <w:p w:rsidR="00DC45A9" w:rsidRPr="00AF763A" w:rsidRDefault="001C4572" w:rsidP="00AF763A">
      <w:pPr>
        <w:rPr>
          <w:highlight w:val="yellow"/>
        </w:rPr>
      </w:pPr>
      <w:r>
        <w:t xml:space="preserve"> As </w:t>
      </w:r>
      <w:r w:rsidR="0004524F">
        <w:t xml:space="preserve"> to </w:t>
      </w:r>
      <w:r w:rsidR="00C913FC">
        <w:t xml:space="preserve">point </w:t>
      </w:r>
      <w:r w:rsidR="0004524F">
        <w:t>(a)</w:t>
      </w:r>
      <w:r w:rsidR="00DD46E7">
        <w:t>(</w:t>
      </w:r>
      <w:r w:rsidR="00C96F28">
        <w:rPr>
          <w:i/>
        </w:rPr>
        <w:t>subsidiarity as the sole ground of challenge</w:t>
      </w:r>
      <w:r w:rsidR="00DD46E7">
        <w:t xml:space="preserve">) </w:t>
      </w:r>
      <w:r w:rsidR="0004524F">
        <w:t xml:space="preserve"> </w:t>
      </w:r>
      <w:r w:rsidR="006244E9">
        <w:t xml:space="preserve">, </w:t>
      </w:r>
      <w:r w:rsidR="00FB149C">
        <w:t>the opportunity has been missed</w:t>
      </w:r>
      <w:r w:rsidR="00C913FC">
        <w:t xml:space="preserve"> in the Decision </w:t>
      </w:r>
      <w:r w:rsidR="00FB149C">
        <w:t xml:space="preserve"> to extend </w:t>
      </w:r>
      <w:r w:rsidR="00C87CE9">
        <w:t xml:space="preserve"> </w:t>
      </w:r>
      <w:r w:rsidR="00FB149C">
        <w:t>the yellow card procedure</w:t>
      </w:r>
      <w:r w:rsidR="00396689">
        <w:t xml:space="preserve"> </w:t>
      </w:r>
      <w:r w:rsidR="00FB149C">
        <w:t>to encompass</w:t>
      </w:r>
      <w:r w:rsidR="00AF00EE">
        <w:t xml:space="preserve"> </w:t>
      </w:r>
      <w:r w:rsidR="00396689">
        <w:t xml:space="preserve">challenge </w:t>
      </w:r>
      <w:r w:rsidR="00AF00EE">
        <w:t xml:space="preserve"> by national parliaments</w:t>
      </w:r>
      <w:r w:rsidR="006244E9">
        <w:t xml:space="preserve"> on the ground of proportiona</w:t>
      </w:r>
      <w:r w:rsidR="001C7BCD">
        <w:t xml:space="preserve">lity, as well as subsidiarity. </w:t>
      </w:r>
    </w:p>
    <w:p w:rsidR="0004524F" w:rsidRDefault="00261ACD" w:rsidP="00AF763A">
      <w:r>
        <w:t>As t</w:t>
      </w:r>
      <w:r w:rsidR="0004524F">
        <w:t>he House of Lords EU Committee, in its report on The Role of National Parliamen</w:t>
      </w:r>
      <w:r w:rsidR="00DC45A9">
        <w:t>ts (</w:t>
      </w:r>
      <w:r>
        <w:t xml:space="preserve">11 March and 24 March 2014) </w:t>
      </w:r>
      <w:r w:rsidR="0004524F">
        <w:t xml:space="preserve"> </w:t>
      </w:r>
      <w:r w:rsidR="00C913FC">
        <w:t xml:space="preserve">rightly </w:t>
      </w:r>
      <w:r>
        <w:t>concluded: “the two concepts ar</w:t>
      </w:r>
      <w:r w:rsidR="0052572A">
        <w:t xml:space="preserve">e clearly closely related , and explicitly extending the procedure to include proportionality would avoid sterile disputes about whether a particular concern about a proposal fell under one heading or the other”. </w:t>
      </w:r>
    </w:p>
    <w:p w:rsidR="001C7BCD" w:rsidRPr="00261ACD" w:rsidRDefault="001C7BCD" w:rsidP="00AF763A">
      <w:r w:rsidRPr="00261ACD">
        <w:t>Even as it stands, if the Council were to use its powers to cease consideration of a proposal   at the behest of t</w:t>
      </w:r>
      <w:r w:rsidR="00DA30C0">
        <w:t>he national parliaments, there c</w:t>
      </w:r>
      <w:r w:rsidRPr="00261ACD">
        <w:t>ould be cases where</w:t>
      </w:r>
      <w:r w:rsidR="00C913FC">
        <w:t xml:space="preserve"> a</w:t>
      </w:r>
      <w:r w:rsidR="00FE282E">
        <w:t xml:space="preserve"> decision</w:t>
      </w:r>
      <w:r w:rsidR="00DA30C0">
        <w:t xml:space="preserve"> </w:t>
      </w:r>
      <w:r w:rsidR="00FE282E">
        <w:t xml:space="preserve"> to “discontinue” c</w:t>
      </w:r>
      <w:r w:rsidRPr="00261ACD">
        <w:t xml:space="preserve">ould  be challenged in the Court of Justice on the basis that the national parliaments’ reasoned opinions had </w:t>
      </w:r>
      <w:r w:rsidRPr="00261ACD">
        <w:lastRenderedPageBreak/>
        <w:t>not been properly based on subsidiarity grounds .</w:t>
      </w:r>
      <w:r w:rsidR="00DA30C0">
        <w:t xml:space="preserve"> </w:t>
      </w:r>
      <w:r w:rsidRPr="00261ACD">
        <w:t>In view of the Commission’s approach</w:t>
      </w:r>
      <w:r w:rsidR="00FE282E">
        <w:t xml:space="preserve"> until now</w:t>
      </w:r>
      <w:r w:rsidRPr="00261ACD">
        <w:t>, this is not a fanciful prospect.</w:t>
      </w:r>
    </w:p>
    <w:p w:rsidR="00C60318" w:rsidRDefault="006A414C" w:rsidP="00AF763A">
      <w:r>
        <w:t>As</w:t>
      </w:r>
      <w:r w:rsidR="0052572A">
        <w:t xml:space="preserve"> to </w:t>
      </w:r>
      <w:r w:rsidR="00C913FC">
        <w:t xml:space="preserve">point </w:t>
      </w:r>
      <w:r w:rsidR="0052572A">
        <w:t>(b)</w:t>
      </w:r>
      <w:r w:rsidR="00DD46E7">
        <w:t>(</w:t>
      </w:r>
      <w:r w:rsidR="00DD46E7" w:rsidRPr="00C913FC">
        <w:rPr>
          <w:i/>
        </w:rPr>
        <w:t>national parliaments’ right to block</w:t>
      </w:r>
      <w:r w:rsidR="00DD46E7">
        <w:t xml:space="preserve">) </w:t>
      </w:r>
      <w:r w:rsidR="0052572A">
        <w:t xml:space="preserve"> </w:t>
      </w:r>
      <w:r w:rsidR="00DD46E7">
        <w:t xml:space="preserve">, </w:t>
      </w:r>
      <w:r w:rsidR="006244E9">
        <w:t xml:space="preserve"> the UK Government </w:t>
      </w:r>
      <w:r w:rsidR="00FB149C" w:rsidRPr="00261ACD">
        <w:t>has</w:t>
      </w:r>
      <w:r w:rsidRPr="00261ACD">
        <w:t xml:space="preserve"> achieved its </w:t>
      </w:r>
      <w:r w:rsidR="00C96F28">
        <w:t>key aim</w:t>
      </w:r>
      <w:r w:rsidRPr="00261ACD">
        <w:t>, albeit indirectly</w:t>
      </w:r>
      <w:r w:rsidR="00E75409" w:rsidRPr="00261ACD">
        <w:t>, through the pr</w:t>
      </w:r>
      <w:r w:rsidR="00AF00EE" w:rsidRPr="00261ACD">
        <w:t xml:space="preserve">ocedure anticipated by the </w:t>
      </w:r>
      <w:r w:rsidR="00E75409" w:rsidRPr="00261ACD">
        <w:t xml:space="preserve"> Decision</w:t>
      </w:r>
      <w:r w:rsidRPr="00261ACD">
        <w:t xml:space="preserve">. </w:t>
      </w:r>
      <w:r w:rsidR="00DD46E7">
        <w:t>But i</w:t>
      </w:r>
      <w:r w:rsidR="00FB149C" w:rsidRPr="00261ACD">
        <w:t xml:space="preserve">s the power illusory or real? </w:t>
      </w:r>
      <w:r w:rsidRPr="00261ACD">
        <w:t>The obvious question is whether it would be possible for 55% of the nationa</w:t>
      </w:r>
      <w:r w:rsidR="00E75409" w:rsidRPr="00261ACD">
        <w:t xml:space="preserve">l parliaments to club together </w:t>
      </w:r>
      <w:r w:rsidRPr="00261ACD">
        <w:t xml:space="preserve">within twelve weeks  to submit reasoned opinions, properly based on subsidiarity grounds. </w:t>
      </w:r>
      <w:r w:rsidR="00FB149C" w:rsidRPr="00261ACD">
        <w:t xml:space="preserve">Twelve weeks </w:t>
      </w:r>
      <w:r w:rsidR="00665D13" w:rsidRPr="00261ACD">
        <w:t xml:space="preserve">is </w:t>
      </w:r>
      <w:r w:rsidR="00FB149C" w:rsidRPr="00261ACD">
        <w:t xml:space="preserve">undoubtedly </w:t>
      </w:r>
      <w:r w:rsidR="00665D13" w:rsidRPr="00261ACD">
        <w:t>an improvement on</w:t>
      </w:r>
      <w:r w:rsidR="004C666B" w:rsidRPr="00261ACD">
        <w:t xml:space="preserve"> the curr</w:t>
      </w:r>
      <w:r w:rsidR="00100900">
        <w:t>ent eight week deadline</w:t>
      </w:r>
      <w:r w:rsidR="00C43B95" w:rsidRPr="00261ACD">
        <w:t>. But an exte</w:t>
      </w:r>
      <w:r w:rsidR="00E75409" w:rsidRPr="00261ACD">
        <w:t xml:space="preserve">nsion of the time limit is not </w:t>
      </w:r>
      <w:r w:rsidR="00C43B95" w:rsidRPr="00261ACD">
        <w:t>deliverable without a</w:t>
      </w:r>
      <w:r w:rsidR="004C666B" w:rsidRPr="00261ACD">
        <w:t xml:space="preserve"> change</w:t>
      </w:r>
      <w:r w:rsidR="00C43B95" w:rsidRPr="00261ACD">
        <w:t xml:space="preserve"> to the EU Treaties</w:t>
      </w:r>
      <w:r w:rsidR="004C666B" w:rsidRPr="00261ACD">
        <w:t>.</w:t>
      </w:r>
      <w:r w:rsidR="00665D13" w:rsidRPr="00261ACD">
        <w:t xml:space="preserve">  </w:t>
      </w:r>
    </w:p>
    <w:p w:rsidR="006A414C" w:rsidRPr="00261ACD" w:rsidRDefault="00C60318" w:rsidP="00C913FC">
      <w:r>
        <w:t xml:space="preserve">The Decision also requires </w:t>
      </w:r>
      <w:r w:rsidR="006A414C" w:rsidRPr="00261ACD">
        <w:t xml:space="preserve"> t</w:t>
      </w:r>
      <w:r>
        <w:t xml:space="preserve">hat the members of the Council  should </w:t>
      </w:r>
      <w:r w:rsidR="00FB149C" w:rsidRPr="00261ACD">
        <w:t xml:space="preserve"> </w:t>
      </w:r>
      <w:r w:rsidR="00C96F28">
        <w:t xml:space="preserve">first </w:t>
      </w:r>
      <w:r w:rsidR="00FB149C" w:rsidRPr="00261ACD">
        <w:t>be satisfied that the draft</w:t>
      </w:r>
      <w:r w:rsidR="00C913FC">
        <w:t xml:space="preserve"> legislative proposal </w:t>
      </w:r>
      <w:r w:rsidR="00FB149C" w:rsidRPr="00261ACD">
        <w:t xml:space="preserve"> had not been amended to accommodate the concerns of the national parliament</w:t>
      </w:r>
      <w:r w:rsidR="001C7BCD" w:rsidRPr="00261ACD">
        <w:t xml:space="preserve">s.  If so satisfied, </w:t>
      </w:r>
      <w:r w:rsidR="00DD46E7">
        <w:t>the representatives of the M</w:t>
      </w:r>
      <w:r w:rsidR="00AA38F1" w:rsidRPr="00261ACD">
        <w:t xml:space="preserve">ember States </w:t>
      </w:r>
      <w:r w:rsidR="00D71E8D">
        <w:t>must</w:t>
      </w:r>
      <w:r w:rsidR="001C7BCD" w:rsidRPr="00261ACD">
        <w:t xml:space="preserve"> apparently act at the behest of the national parliaments, even if the governments of the Member States  might have voted differently . </w:t>
      </w:r>
    </w:p>
    <w:p w:rsidR="003175FF" w:rsidRPr="00261ACD" w:rsidRDefault="006A414C" w:rsidP="00AF763A">
      <w:r w:rsidRPr="00261ACD">
        <w:t>The new p</w:t>
      </w:r>
      <w:r w:rsidR="00E75409" w:rsidRPr="00261ACD">
        <w:t>r</w:t>
      </w:r>
      <w:r w:rsidR="00021555" w:rsidRPr="00261ACD">
        <w:t>oposed procedure</w:t>
      </w:r>
      <w:r w:rsidRPr="00261ACD">
        <w:t xml:space="preserve"> has to “</w:t>
      </w:r>
      <w:r w:rsidR="00021555" w:rsidRPr="00261ACD">
        <w:t>[</w:t>
      </w:r>
      <w:r w:rsidRPr="00261ACD">
        <w:t>respect</w:t>
      </w:r>
      <w:r w:rsidR="00021555" w:rsidRPr="00261ACD">
        <w:t>]</w:t>
      </w:r>
      <w:r w:rsidRPr="00261ACD">
        <w:t xml:space="preserve"> the procedural require</w:t>
      </w:r>
      <w:r w:rsidR="006B1644" w:rsidRPr="00261ACD">
        <w:t>ments of the treaties</w:t>
      </w:r>
      <w:r w:rsidRPr="00261ACD">
        <w:t>”</w:t>
      </w:r>
      <w:r w:rsidR="00021555" w:rsidRPr="00261ACD">
        <w:t xml:space="preserve"> (Article C 3 (ibid))</w:t>
      </w:r>
      <w:r w:rsidRPr="00261ACD">
        <w:t xml:space="preserve">. </w:t>
      </w:r>
      <w:r w:rsidR="00D71E8D">
        <w:t xml:space="preserve">This presumably means </w:t>
      </w:r>
      <w:r w:rsidR="00E75409" w:rsidRPr="00261ACD">
        <w:t xml:space="preserve">that the Commission </w:t>
      </w:r>
      <w:r w:rsidR="00021555" w:rsidRPr="00261ACD">
        <w:t>(rightly) sho</w:t>
      </w:r>
      <w:r w:rsidR="00E75409" w:rsidRPr="00261ACD">
        <w:t>uld have an opportunity to respond to the national parliaments’ opinions</w:t>
      </w:r>
      <w:r w:rsidR="00AA38F1" w:rsidRPr="00261ACD">
        <w:t xml:space="preserve"> and that the views of the Parliament will be taken into account</w:t>
      </w:r>
      <w:r w:rsidR="00E75409" w:rsidRPr="00261ACD">
        <w:t xml:space="preserve">. </w:t>
      </w:r>
    </w:p>
    <w:p w:rsidR="00AF00EE" w:rsidRPr="00C60318" w:rsidRDefault="003175FF" w:rsidP="00C60318">
      <w:r w:rsidRPr="00C60318">
        <w:t xml:space="preserve">A </w:t>
      </w:r>
      <w:r w:rsidR="00C96F28">
        <w:t xml:space="preserve">separate </w:t>
      </w:r>
      <w:r w:rsidRPr="00C60318">
        <w:t>Commission declaration “</w:t>
      </w:r>
      <w:r w:rsidRPr="00C60318">
        <w:rPr>
          <w:i/>
        </w:rPr>
        <w:t>on a subsidiarity implementation mechanism and a burden reduction implementation mechanism”</w:t>
      </w:r>
      <w:r w:rsidRPr="00C60318">
        <w:t xml:space="preserve"> (EUCO 7/16)</w:t>
      </w:r>
      <w:r w:rsidR="00A16B1E" w:rsidRPr="00C60318">
        <w:t>(“the draft Commission declaration”)</w:t>
      </w:r>
      <w:r w:rsidRPr="00C60318">
        <w:t xml:space="preserve"> is to be ma</w:t>
      </w:r>
      <w:r w:rsidR="00AF00EE" w:rsidRPr="00C60318">
        <w:t>de at the same time as the  Decision takes effect</w:t>
      </w:r>
      <w:r w:rsidRPr="00C60318">
        <w:t xml:space="preserve">. A declaration is not legally binding. The reference to subsidiarity in the draft Commission Declaration </w:t>
      </w:r>
      <w:r w:rsidR="00AE54BB" w:rsidRPr="00C60318">
        <w:t xml:space="preserve">is no more than a promise to establish a mechanism to review the body of existing EU legislation for “compliance with the principle of subsidiarity and proportionality, building on existing processes and with a view to ensuring the full implementation of this principle”. </w:t>
      </w:r>
      <w:r w:rsidR="00C96F28">
        <w:t xml:space="preserve">This is a reference to the REFIT programme (below). </w:t>
      </w:r>
      <w:r w:rsidR="001C4572" w:rsidRPr="00C60318">
        <w:t>Specifically, t</w:t>
      </w:r>
      <w:r w:rsidR="00AE54BB" w:rsidRPr="00C60318">
        <w:t>her</w:t>
      </w:r>
      <w:r w:rsidR="001C4572" w:rsidRPr="00C60318">
        <w:t>e is no indication that the Commission agrees that action at the EU level is only justified where the issue has transnational aspects</w:t>
      </w:r>
      <w:r w:rsidR="00A16B1E" w:rsidRPr="00C60318">
        <w:t xml:space="preserve"> (see above). </w:t>
      </w:r>
    </w:p>
    <w:p w:rsidR="00AF00EE" w:rsidRPr="00C60318" w:rsidRDefault="00C96F28" w:rsidP="00AF763A">
      <w:r>
        <w:t xml:space="preserve">In conclusion, </w:t>
      </w:r>
      <w:r w:rsidR="00C60318">
        <w:t>t</w:t>
      </w:r>
      <w:r w:rsidR="00DD46E7">
        <w:t>he D</w:t>
      </w:r>
      <w:r w:rsidR="00C913FC">
        <w:t xml:space="preserve">ecision will </w:t>
      </w:r>
      <w:r w:rsidR="00DD46E7">
        <w:t>confer an enhanced role on national parliaments which</w:t>
      </w:r>
      <w:r w:rsidR="009D76F0">
        <w:t xml:space="preserve"> could result in  blocking</w:t>
      </w:r>
      <w:r w:rsidR="00AF00EE" w:rsidRPr="00C60318">
        <w:t xml:space="preserve"> </w:t>
      </w:r>
      <w:r w:rsidR="00DD46E7">
        <w:t xml:space="preserve">further </w:t>
      </w:r>
      <w:r w:rsidR="00AF00EE" w:rsidRPr="00C60318">
        <w:t xml:space="preserve">consideration of a legislative proposal on subsidiarity grounds. </w:t>
      </w:r>
      <w:r w:rsidR="00100900">
        <w:t xml:space="preserve">This </w:t>
      </w:r>
      <w:r w:rsidR="00171338">
        <w:t>power could have</w:t>
      </w:r>
      <w:r w:rsidR="00100900">
        <w:t xml:space="preserve"> the effect of improving democratic accountability. </w:t>
      </w:r>
      <w:r w:rsidR="00171338">
        <w:t>However, t</w:t>
      </w:r>
      <w:r w:rsidR="00C60318">
        <w:t>he absence of a right to challenge  a proposal on propor</w:t>
      </w:r>
      <w:r w:rsidR="00171338">
        <w:t xml:space="preserve">tionality grounds is </w:t>
      </w:r>
      <w:r w:rsidR="00C60318">
        <w:t>an opportunity missed.</w:t>
      </w:r>
    </w:p>
    <w:p w:rsidR="00375CB3" w:rsidRPr="00171338" w:rsidRDefault="00375CB3" w:rsidP="00171338">
      <w:pPr>
        <w:rPr>
          <w:b/>
          <w:i/>
        </w:rPr>
      </w:pPr>
      <w:r w:rsidRPr="00171338">
        <w:rPr>
          <w:b/>
          <w:i/>
        </w:rPr>
        <w:t xml:space="preserve">Competitiveness – better regulation aspects </w:t>
      </w:r>
    </w:p>
    <w:p w:rsidR="003C1750" w:rsidRDefault="00FB149C" w:rsidP="00AF763A">
      <w:r w:rsidRPr="00AF763A">
        <w:rPr>
          <w:b/>
          <w:i/>
        </w:rPr>
        <w:t xml:space="preserve">The perceived problem </w:t>
      </w:r>
      <w:r w:rsidR="00B5235C">
        <w:t>While noting that</w:t>
      </w:r>
      <w:r w:rsidR="00611111">
        <w:t xml:space="preserve"> the flow of new</w:t>
      </w:r>
      <w:r w:rsidR="009D76F0">
        <w:t xml:space="preserve"> EU </w:t>
      </w:r>
      <w:r w:rsidR="00611111">
        <w:t xml:space="preserve"> regulations had</w:t>
      </w:r>
      <w:r w:rsidR="00B5235C">
        <w:t xml:space="preserve"> been stemmed, t</w:t>
      </w:r>
      <w:r w:rsidR="000F4ABE">
        <w:t xml:space="preserve">he UK Prime Minister’s </w:t>
      </w:r>
      <w:r w:rsidR="00A93D21">
        <w:t xml:space="preserve"> letter </w:t>
      </w:r>
      <w:r w:rsidR="00611111">
        <w:t>sought</w:t>
      </w:r>
      <w:r w:rsidR="00B5235C">
        <w:t xml:space="preserve"> action to reduce the</w:t>
      </w:r>
      <w:r w:rsidR="009D76F0">
        <w:t xml:space="preserve"> burden of existing legislation. His views are shared in other Member States, such as the Netherlands and Germany.</w:t>
      </w:r>
    </w:p>
    <w:p w:rsidR="009D76F0" w:rsidRDefault="00AA38F1" w:rsidP="00AF763A">
      <w:r>
        <w:t>The Commission has been criticised for proposing the adoption of legislation in breach of subsidiarity and proporti</w:t>
      </w:r>
      <w:r w:rsidR="009D76F0">
        <w:t>onality</w:t>
      </w:r>
      <w:r>
        <w:t xml:space="preserve"> principles; for a lack of openness and transparency</w:t>
      </w:r>
      <w:r w:rsidR="009D76F0">
        <w:t xml:space="preserve"> in the way that it works</w:t>
      </w:r>
      <w:r>
        <w:t>; and for the paucity of its evidence base for proposals.</w:t>
      </w:r>
      <w:r w:rsidR="005B10DD">
        <w:t xml:space="preserve"> In respons</w:t>
      </w:r>
      <w:r w:rsidR="009D76F0">
        <w:t xml:space="preserve">e the Commission </w:t>
      </w:r>
      <w:r w:rsidR="00171338">
        <w:t xml:space="preserve">initially </w:t>
      </w:r>
      <w:r w:rsidR="009D76F0">
        <w:t xml:space="preserve">took piecemeal </w:t>
      </w:r>
      <w:r w:rsidR="005B10DD">
        <w:t>steps to address the</w:t>
      </w:r>
      <w:r w:rsidR="009D76F0">
        <w:t xml:space="preserve">se </w:t>
      </w:r>
      <w:r w:rsidR="00171338">
        <w:t xml:space="preserve">shortcomings. These steps culminated in its more coherent </w:t>
      </w:r>
      <w:r w:rsidR="009D76F0">
        <w:t xml:space="preserve"> </w:t>
      </w:r>
      <w:r w:rsidR="005B10DD" w:rsidRPr="00AF763A">
        <w:rPr>
          <w:i/>
        </w:rPr>
        <w:t>Better Regulation Package</w:t>
      </w:r>
      <w:r w:rsidR="005B10DD">
        <w:t xml:space="preserve"> of May 2015.</w:t>
      </w:r>
      <w:r w:rsidR="005B10DD" w:rsidRPr="005B10DD">
        <w:t xml:space="preserve">  </w:t>
      </w:r>
    </w:p>
    <w:p w:rsidR="00F73756" w:rsidRDefault="005B10DD" w:rsidP="00AF763A">
      <w:r>
        <w:t>Specifically, as to th</w:t>
      </w:r>
      <w:r w:rsidR="00BD7BF9" w:rsidRPr="005B10DD">
        <w:t>e</w:t>
      </w:r>
      <w:r w:rsidR="00BD7BF9" w:rsidRPr="00AF763A">
        <w:rPr>
          <w:i/>
          <w:u w:val="single"/>
        </w:rPr>
        <w:t xml:space="preserve"> </w:t>
      </w:r>
      <w:r w:rsidR="00BD7BF9" w:rsidRPr="005B10DD">
        <w:t>exi</w:t>
      </w:r>
      <w:r w:rsidR="004538F8" w:rsidRPr="005B10DD">
        <w:t>s</w:t>
      </w:r>
      <w:r>
        <w:t xml:space="preserve">ting stock of regulation, </w:t>
      </w:r>
      <w:r w:rsidR="00D71E8D">
        <w:t xml:space="preserve">in 2012 </w:t>
      </w:r>
      <w:r>
        <w:t>t</w:t>
      </w:r>
      <w:r w:rsidR="00D71E8D">
        <w:t>he Commission had</w:t>
      </w:r>
      <w:r w:rsidR="00611111">
        <w:t xml:space="preserve"> established a</w:t>
      </w:r>
      <w:r w:rsidR="00AD7E46">
        <w:t xml:space="preserve"> Regulatory Fitness and Perfor</w:t>
      </w:r>
      <w:r w:rsidR="009D76F0">
        <w:t xml:space="preserve">mance Programme (“REFIT”). </w:t>
      </w:r>
      <w:r w:rsidR="00AD7E46">
        <w:t xml:space="preserve">Over a period of years, the aim of REFIT is to screen the entire stock of EU legislation for burdens, inconsistencies and ineffectiveness. The </w:t>
      </w:r>
      <w:r w:rsidR="00AD7E46">
        <w:lastRenderedPageBreak/>
        <w:t>Commission has published a number of reports on the measures that it has proposed for adjustment, repeal or simplification since the introduction of REFIT.</w:t>
      </w:r>
    </w:p>
    <w:p w:rsidR="00956D53" w:rsidRDefault="00AD7E46" w:rsidP="00AF763A">
      <w:r>
        <w:t xml:space="preserve">Laudable though REFIT is, there has been a mixed reaction to </w:t>
      </w:r>
      <w:r w:rsidR="00956D53">
        <w:t>how effe</w:t>
      </w:r>
      <w:r w:rsidR="005B10DD">
        <w:t xml:space="preserve">ctive the initiative has been , for example, because the choice of legislation to be scrutinised was Commission-driven. </w:t>
      </w:r>
    </w:p>
    <w:p w:rsidR="00956D53" w:rsidRDefault="00B10411" w:rsidP="00AF763A">
      <w:r>
        <w:t xml:space="preserve">On 19 May 2015, the </w:t>
      </w:r>
      <w:r w:rsidRPr="00171338">
        <w:t xml:space="preserve">Commission </w:t>
      </w:r>
      <w:r>
        <w:t>adopted a Decision establishing the REFIT Platform. The pu</w:t>
      </w:r>
      <w:r w:rsidR="005B10DD">
        <w:t xml:space="preserve">rpose of the Platform was </w:t>
      </w:r>
      <w:r w:rsidR="00C6585C">
        <w:t xml:space="preserve">to establish a mechanism under </w:t>
      </w:r>
      <w:r>
        <w:t>which suggestion</w:t>
      </w:r>
      <w:r w:rsidR="00C6585C">
        <w:t>s from all available sources would be</w:t>
      </w:r>
      <w:r>
        <w:t xml:space="preserve"> invited and collected in relation to “regulatory and administrative burden</w:t>
      </w:r>
      <w:r w:rsidR="009F6204">
        <w:t xml:space="preserve"> </w:t>
      </w:r>
      <w:r w:rsidR="00C6585C">
        <w:t>reduction”. The suggestions would</w:t>
      </w:r>
      <w:r w:rsidR="00171338">
        <w:t xml:space="preserve"> be </w:t>
      </w:r>
      <w:r>
        <w:t xml:space="preserve"> forwarded to the relevant part of the Commis</w:t>
      </w:r>
      <w:r w:rsidR="00C6585C">
        <w:t>sion and the Commission promised</w:t>
      </w:r>
      <w:r>
        <w:t xml:space="preserve"> to respond to each suggestion. </w:t>
      </w:r>
    </w:p>
    <w:p w:rsidR="00067CEC" w:rsidRDefault="00E50466" w:rsidP="00C60318">
      <w:r>
        <w:t xml:space="preserve">In December 2015, </w:t>
      </w:r>
      <w:r w:rsidR="009F6204">
        <w:t xml:space="preserve"> an important draft proposal </w:t>
      </w:r>
      <w:r w:rsidR="00B10411">
        <w:t xml:space="preserve"> for an </w:t>
      </w:r>
      <w:r w:rsidR="00B10411" w:rsidRPr="00AF763A">
        <w:rPr>
          <w:i/>
        </w:rPr>
        <w:t xml:space="preserve">Inter institutional </w:t>
      </w:r>
      <w:r w:rsidR="009F6204" w:rsidRPr="00AF763A">
        <w:rPr>
          <w:i/>
        </w:rPr>
        <w:t xml:space="preserve">agreement on Better lawmaking, </w:t>
      </w:r>
      <w:r w:rsidR="00D71E8D">
        <w:t>was published (see below).</w:t>
      </w:r>
    </w:p>
    <w:p w:rsidR="00A14C1F" w:rsidRPr="00C60318" w:rsidRDefault="00D82A1F" w:rsidP="00C60318">
      <w:pPr>
        <w:rPr>
          <w:i/>
          <w:u w:val="single"/>
        </w:rPr>
      </w:pPr>
      <w:r w:rsidRPr="00C60318">
        <w:rPr>
          <w:b/>
          <w:i/>
        </w:rPr>
        <w:t xml:space="preserve">The EU response </w:t>
      </w:r>
      <w:r w:rsidR="00E50466">
        <w:rPr>
          <w:b/>
          <w:i/>
        </w:rPr>
        <w:t xml:space="preserve"> </w:t>
      </w:r>
      <w:r w:rsidR="00E03907" w:rsidRPr="00DC1737">
        <w:t xml:space="preserve">The texts on Competitiveness-better regulation are typically labyrinthine. </w:t>
      </w:r>
      <w:r w:rsidRPr="00DC1737">
        <w:t>In the Decision, t</w:t>
      </w:r>
      <w:r w:rsidR="00A14C1F" w:rsidRPr="00DC1737">
        <w:t xml:space="preserve">he Member States </w:t>
      </w:r>
      <w:r w:rsidR="00E03907" w:rsidRPr="00DC1737">
        <w:t>(</w:t>
      </w:r>
      <w:r w:rsidR="00A14C1F" w:rsidRPr="00DC1737">
        <w:t xml:space="preserve">and </w:t>
      </w:r>
      <w:r w:rsidR="00E03907" w:rsidRPr="00DC1737">
        <w:t xml:space="preserve">, it is asserted , </w:t>
      </w:r>
      <w:r w:rsidR="00A14C1F" w:rsidRPr="00DC1737">
        <w:t>the EU institutions (</w:t>
      </w:r>
      <w:r w:rsidR="0008103D" w:rsidRPr="00DC1737">
        <w:t>even though they</w:t>
      </w:r>
      <w:r w:rsidR="00A14C1F" w:rsidRPr="00DC1737">
        <w:t xml:space="preserve"> are not parties to the Decision</w:t>
      </w:r>
      <w:r w:rsidR="0008103D" w:rsidRPr="00DC1737">
        <w:t>)</w:t>
      </w:r>
      <w:r w:rsidR="00E03907" w:rsidRPr="00DC1737">
        <w:t>)</w:t>
      </w:r>
      <w:r w:rsidR="0008103D" w:rsidRPr="00DC1737">
        <w:t xml:space="preserve"> would commit themselves to</w:t>
      </w:r>
      <w:r w:rsidR="00A14C1F" w:rsidRPr="00DC1737">
        <w:t xml:space="preserve"> </w:t>
      </w:r>
      <w:r w:rsidR="0008103D" w:rsidRPr="00DC1737">
        <w:t>“</w:t>
      </w:r>
      <w:r w:rsidR="00A14C1F" w:rsidRPr="00DC1737">
        <w:t>take concrete steps towards better regulation …This means lowering administrative burdens and compliance costs on economic operators, especially small and medium size enterprises , and repealing unnecessary legislation as foreseen [in the draft Commission Declaration] , while continuing to ensure high standards of consumer , employee, health</w:t>
      </w:r>
      <w:r w:rsidR="0008103D" w:rsidRPr="00DC1737">
        <w:t xml:space="preserve"> and environmental protection”. </w:t>
      </w:r>
      <w:r w:rsidR="00E03907" w:rsidRPr="00DC1737">
        <w:t xml:space="preserve">The Decision </w:t>
      </w:r>
      <w:r w:rsidR="00A14C1F" w:rsidRPr="00DC1737">
        <w:t>am</w:t>
      </w:r>
      <w:r w:rsidR="0075210D" w:rsidRPr="00DC1737">
        <w:t xml:space="preserve">ounts to </w:t>
      </w:r>
      <w:r w:rsidR="0008103D" w:rsidRPr="00DC1737">
        <w:t xml:space="preserve">little </w:t>
      </w:r>
      <w:r w:rsidR="00A14C1F" w:rsidRPr="00DC1737">
        <w:t xml:space="preserve"> more than </w:t>
      </w:r>
      <w:r w:rsidR="0075210D" w:rsidRPr="00DC1737">
        <w:t>a restatement o</w:t>
      </w:r>
      <w:r w:rsidR="00A14C1F" w:rsidRPr="00DC1737">
        <w:t>f the present posit</w:t>
      </w:r>
      <w:r w:rsidR="0008103D" w:rsidRPr="00DC1737">
        <w:t>ion, albeit in a binding text. Unfortunately t</w:t>
      </w:r>
      <w:r w:rsidR="00A14C1F" w:rsidRPr="00DC1737">
        <w:t xml:space="preserve">he “concrete steps” </w:t>
      </w:r>
      <w:r w:rsidR="00E03907" w:rsidRPr="00DC1737">
        <w:t xml:space="preserve">towards lowering administrative burdens and compliance costs </w:t>
      </w:r>
      <w:r w:rsidR="00A14C1F" w:rsidRPr="00DC1737">
        <w:t xml:space="preserve">are not hard edged , for example, </w:t>
      </w:r>
      <w:r w:rsidR="00E03907" w:rsidRPr="00DC1737">
        <w:t>by specifying bindi</w:t>
      </w:r>
      <w:r w:rsidR="00D71E8D">
        <w:t xml:space="preserve">ng targets , and are necessarily </w:t>
      </w:r>
      <w:r w:rsidR="00E03907" w:rsidRPr="00DC1737">
        <w:t>qualified by the reference to a number of counterbalancing  considerations</w:t>
      </w:r>
      <w:r w:rsidR="00C6585C" w:rsidRPr="00DC1737">
        <w:t>.</w:t>
      </w:r>
    </w:p>
    <w:p w:rsidR="00C6585C" w:rsidRPr="00DC1737" w:rsidRDefault="0075210D" w:rsidP="00AF763A">
      <w:r w:rsidRPr="00DC1737">
        <w:t xml:space="preserve">For its part, the Council </w:t>
      </w:r>
      <w:r w:rsidR="00C60318">
        <w:t>has promised to</w:t>
      </w:r>
      <w:r w:rsidR="00B76E54" w:rsidRPr="00DC1737">
        <w:t xml:space="preserve"> </w:t>
      </w:r>
      <w:r w:rsidR="00DC1737">
        <w:t>make a separate declaration</w:t>
      </w:r>
      <w:r w:rsidRPr="00DC1737">
        <w:t xml:space="preserve"> as follows: “…the European Cou</w:t>
      </w:r>
      <w:r w:rsidR="0008103D" w:rsidRPr="00DC1737">
        <w:t xml:space="preserve">ncil urges all EU institutions and the Member States </w:t>
      </w:r>
      <w:r w:rsidR="00A14C1F" w:rsidRPr="00DC1737">
        <w:t xml:space="preserve"> </w:t>
      </w:r>
      <w:r w:rsidR="0008103D" w:rsidRPr="00DC1737">
        <w:t>t</w:t>
      </w:r>
      <w:r w:rsidRPr="00DC1737">
        <w:t>o strive for better regulation and to repeal all unnecessary legislation in order to enhance EU competitiveness while having due regard to the need to maintain high standards of consumer, employee, health and environmental protection…</w:t>
      </w:r>
      <w:r w:rsidR="003F0E6F" w:rsidRPr="00DC1737">
        <w:t xml:space="preserve">”. </w:t>
      </w:r>
    </w:p>
    <w:p w:rsidR="00B76E54" w:rsidRPr="00DC1737" w:rsidRDefault="00C6585C" w:rsidP="00AF763A">
      <w:r w:rsidRPr="00DC1737">
        <w:t>I</w:t>
      </w:r>
      <w:r w:rsidR="00E03907" w:rsidRPr="00DC1737">
        <w:t>n what appears to be a notable deve</w:t>
      </w:r>
      <w:r w:rsidR="00C60318">
        <w:t>lopment, the Council has also foreshadowed the following</w:t>
      </w:r>
      <w:r w:rsidR="00E03907" w:rsidRPr="00DC1737">
        <w:t xml:space="preserve">: “ </w:t>
      </w:r>
      <w:r w:rsidR="003F0E6F" w:rsidRPr="00DC1737">
        <w:t xml:space="preserve"> </w:t>
      </w:r>
      <w:r w:rsidR="007E6413" w:rsidRPr="00DC1737">
        <w:t xml:space="preserve">[To this end] the European Parliament, the Council and the Commission </w:t>
      </w:r>
      <w:r w:rsidR="007E6413" w:rsidRPr="00AF763A">
        <w:rPr>
          <w:i/>
        </w:rPr>
        <w:t>have agreed the Interinstitutional Agreement on Better law</w:t>
      </w:r>
      <w:r w:rsidR="00E50466">
        <w:rPr>
          <w:i/>
        </w:rPr>
        <w:t xml:space="preserve"> </w:t>
      </w:r>
      <w:r w:rsidR="007E6413" w:rsidRPr="00AF763A">
        <w:rPr>
          <w:i/>
        </w:rPr>
        <w:t xml:space="preserve">making. Effective cooperation in this framework is necessary in order to simplify Union legislation and to avoid overregulation and administrative burdens” (emphasis added). </w:t>
      </w:r>
      <w:r w:rsidR="007E6413" w:rsidRPr="00DC1737">
        <w:t>Thi</w:t>
      </w:r>
      <w:r w:rsidR="00D71E8D">
        <w:t xml:space="preserve">s is a change from </w:t>
      </w:r>
      <w:r w:rsidR="00D82A1F" w:rsidRPr="00DC1737">
        <w:t>an</w:t>
      </w:r>
      <w:r w:rsidR="007E6413" w:rsidRPr="00DC1737">
        <w:t xml:space="preserve"> </w:t>
      </w:r>
      <w:r w:rsidR="00B76E54" w:rsidRPr="00DC1737">
        <w:t>earlier draft of</w:t>
      </w:r>
      <w:r w:rsidR="007E6413" w:rsidRPr="00DC1737">
        <w:t xml:space="preserve"> </w:t>
      </w:r>
      <w:r w:rsidR="00D71E8D">
        <w:t xml:space="preserve">the declaration dated </w:t>
      </w:r>
      <w:r w:rsidR="007E6413" w:rsidRPr="00DC1737">
        <w:t xml:space="preserve">2 February. </w:t>
      </w:r>
    </w:p>
    <w:p w:rsidR="00A16B1E" w:rsidRPr="00DC1737" w:rsidRDefault="00B76E54" w:rsidP="00AF763A">
      <w:r w:rsidRPr="00DC1737">
        <w:t xml:space="preserve">The Council also declares that it is committed </w:t>
      </w:r>
      <w:r w:rsidR="003F0E6F" w:rsidRPr="00DC1737">
        <w:t>“ to regulatory simplification burden reduction, including through withdrawal or repeal o</w:t>
      </w:r>
      <w:r w:rsidRPr="00DC1737">
        <w:t>f legislation where appropriate, and a better use of impact assessment and ex-post evaluation throughout the legislative cycle, at the EU and national levels” .</w:t>
      </w:r>
    </w:p>
    <w:p w:rsidR="00B76E54" w:rsidRPr="00DC1737" w:rsidRDefault="00B76E54" w:rsidP="00AF763A">
      <w:r w:rsidRPr="00DC1737">
        <w:t xml:space="preserve">The Commission’s supporting declaration is regrettably little more than a restatement of the </w:t>
      </w:r>
      <w:r w:rsidRPr="00AF763A">
        <w:rPr>
          <w:i/>
        </w:rPr>
        <w:t xml:space="preserve">status quo ante. </w:t>
      </w:r>
      <w:r w:rsidR="00E50466">
        <w:t>I</w:t>
      </w:r>
      <w:r w:rsidRPr="00DC1737">
        <w:t xml:space="preserve">t recommits itself to the 2015 Better regulation package; to the REFIT programme; </w:t>
      </w:r>
      <w:r w:rsidR="009A4EE5" w:rsidRPr="00DC1737">
        <w:t>to cooperation as part of the REFIT platform; and to simplification and burden reduction, consistently with the balancing considerations outlined above. It does, however, say that it will work towards establishing specific targets for burden reduction.</w:t>
      </w:r>
    </w:p>
    <w:p w:rsidR="00C6585C" w:rsidRPr="00DC1737" w:rsidRDefault="00D71E8D" w:rsidP="00AF763A">
      <w:r>
        <w:t>A new</w:t>
      </w:r>
      <w:r w:rsidR="009A4EE5" w:rsidRPr="00DC1737">
        <w:t xml:space="preserve"> </w:t>
      </w:r>
      <w:r>
        <w:rPr>
          <w:i/>
        </w:rPr>
        <w:t>I</w:t>
      </w:r>
      <w:r w:rsidR="003F0E6F" w:rsidRPr="00AF763A">
        <w:rPr>
          <w:i/>
        </w:rPr>
        <w:t>n</w:t>
      </w:r>
      <w:r w:rsidR="00E50466">
        <w:rPr>
          <w:i/>
        </w:rPr>
        <w:t>ter-institutional agreement on B</w:t>
      </w:r>
      <w:r w:rsidR="003F0E6F" w:rsidRPr="00AF763A">
        <w:rPr>
          <w:i/>
        </w:rPr>
        <w:t>etter law</w:t>
      </w:r>
      <w:r w:rsidR="00E50466">
        <w:rPr>
          <w:i/>
        </w:rPr>
        <w:t xml:space="preserve"> </w:t>
      </w:r>
      <w:r w:rsidR="003F0E6F" w:rsidRPr="00AF763A">
        <w:rPr>
          <w:i/>
        </w:rPr>
        <w:t>making</w:t>
      </w:r>
      <w:r w:rsidR="009A4EE5" w:rsidRPr="00DC1737">
        <w:t xml:space="preserve"> would be a very useful development</w:t>
      </w:r>
      <w:r w:rsidR="00000F23">
        <w:t xml:space="preserve"> even if it seems bureaucratic</w:t>
      </w:r>
      <w:r w:rsidR="009A4EE5" w:rsidRPr="00DC1737">
        <w:t xml:space="preserve"> </w:t>
      </w:r>
      <w:r w:rsidR="003F0E6F" w:rsidRPr="00DC1737">
        <w:t>.</w:t>
      </w:r>
      <w:r w:rsidR="009A4EE5" w:rsidRPr="00DC1737">
        <w:t xml:space="preserve"> If adopted</w:t>
      </w:r>
      <w:r w:rsidR="00487119" w:rsidRPr="00DC1737">
        <w:t>,</w:t>
      </w:r>
      <w:r w:rsidR="009A4EE5" w:rsidRPr="00DC1737">
        <w:t xml:space="preserve"> as the Co</w:t>
      </w:r>
      <w:r w:rsidR="00000F23">
        <w:t>uncil’s Declaration anticipates</w:t>
      </w:r>
      <w:r w:rsidR="009A4EE5" w:rsidRPr="00DC1737">
        <w:t xml:space="preserve">, </w:t>
      </w:r>
      <w:r w:rsidR="00C56C92" w:rsidRPr="00DC1737">
        <w:t>it is</w:t>
      </w:r>
      <w:r w:rsidR="00487119" w:rsidRPr="00DC1737">
        <w:t xml:space="preserve"> </w:t>
      </w:r>
      <w:r w:rsidR="00E50466">
        <w:t xml:space="preserve">intended to be </w:t>
      </w:r>
      <w:r w:rsidR="00487119" w:rsidRPr="00DC1737">
        <w:t>legally b</w:t>
      </w:r>
      <w:r>
        <w:t>inding under Article 295/TEU</w:t>
      </w:r>
      <w:r w:rsidR="00487119" w:rsidRPr="00DC1737">
        <w:t>.</w:t>
      </w:r>
      <w:r w:rsidR="00C6585C" w:rsidRPr="00DC1737">
        <w:t xml:space="preserve"> </w:t>
      </w:r>
      <w:r w:rsidR="007D48F1" w:rsidRPr="00DC1737">
        <w:t xml:space="preserve">It would codify </w:t>
      </w:r>
      <w:r w:rsidR="00E50466">
        <w:t>commitments</w:t>
      </w:r>
      <w:r>
        <w:t xml:space="preserve"> </w:t>
      </w:r>
      <w:r w:rsidR="00E50466">
        <w:t xml:space="preserve"> (a) </w:t>
      </w:r>
      <w:r w:rsidR="007D48F1" w:rsidRPr="00DC1737">
        <w:t xml:space="preserve"> to publish </w:t>
      </w:r>
      <w:r w:rsidR="00C56C92" w:rsidRPr="00DC1737">
        <w:t xml:space="preserve"> an annual work </w:t>
      </w:r>
      <w:r w:rsidR="00C56C92" w:rsidRPr="00DC1737">
        <w:lastRenderedPageBreak/>
        <w:t>programme</w:t>
      </w:r>
      <w:r w:rsidR="00C6585C" w:rsidRPr="00DC1737">
        <w:t xml:space="preserve"> in consultation with the Council and Parliament</w:t>
      </w:r>
      <w:r w:rsidR="00C56C92" w:rsidRPr="00DC1737">
        <w:t xml:space="preserve">; </w:t>
      </w:r>
      <w:r w:rsidR="007D48F1" w:rsidRPr="00DC1737">
        <w:t xml:space="preserve">(b) to produce </w:t>
      </w:r>
      <w:r w:rsidR="00C56C92" w:rsidRPr="00DC1737">
        <w:t xml:space="preserve"> effective impact</w:t>
      </w:r>
      <w:r w:rsidR="00C6585C" w:rsidRPr="00DC1737">
        <w:t xml:space="preserve"> assessments , with “full respect” to be given to</w:t>
      </w:r>
      <w:r w:rsidR="007D48F1" w:rsidRPr="00DC1737">
        <w:t xml:space="preserve"> subsidiarity and proportionality; (c) </w:t>
      </w:r>
      <w:r w:rsidR="00C6585C" w:rsidRPr="00DC1737">
        <w:t xml:space="preserve">to continued scrutiny of impact assessments  by </w:t>
      </w:r>
      <w:r w:rsidR="007D48F1" w:rsidRPr="00DC1737">
        <w:t>a</w:t>
      </w:r>
      <w:r w:rsidR="00E50466">
        <w:t xml:space="preserve">n independent </w:t>
      </w:r>
      <w:r w:rsidR="00C6585C" w:rsidRPr="00DC1737">
        <w:t xml:space="preserve">Regulatory Scrutiny Board; (d) </w:t>
      </w:r>
      <w:r w:rsidR="007D48F1" w:rsidRPr="00DC1737">
        <w:t>to  open , public consultation (without prejudi</w:t>
      </w:r>
      <w:r w:rsidR="00C6585C" w:rsidRPr="00DC1737">
        <w:t>ce to  Article 155(2) TFEU</w:t>
      </w:r>
      <w:r w:rsidR="00E50466">
        <w:t>)</w:t>
      </w:r>
      <w:r w:rsidR="00C6585C" w:rsidRPr="00DC1737">
        <w:t xml:space="preserve">); </w:t>
      </w:r>
      <w:r w:rsidR="00E50466">
        <w:t xml:space="preserve"> (d) </w:t>
      </w:r>
      <w:r w:rsidR="007D48F1" w:rsidRPr="00DC1737">
        <w:t xml:space="preserve"> to </w:t>
      </w:r>
      <w:r w:rsidR="007D48F1" w:rsidRPr="00E50466">
        <w:rPr>
          <w:i/>
        </w:rPr>
        <w:t>ex post</w:t>
      </w:r>
      <w:r w:rsidR="007D48F1" w:rsidRPr="00DC1737">
        <w:t xml:space="preserve"> evaluation of existing legi</w:t>
      </w:r>
      <w:r w:rsidR="00C6585C" w:rsidRPr="00DC1737">
        <w:t>slation, with specific consideration to be given to</w:t>
      </w:r>
      <w:r w:rsidR="007F3C7A" w:rsidRPr="00DC1737">
        <w:t xml:space="preserve"> the use of sunset clauses and review clauses. </w:t>
      </w:r>
    </w:p>
    <w:p w:rsidR="00487119" w:rsidRDefault="003D76A4" w:rsidP="00AF763A">
      <w:r w:rsidRPr="00DC1737">
        <w:t>T</w:t>
      </w:r>
      <w:r w:rsidR="007F3C7A" w:rsidRPr="00DC1737">
        <w:t>he establishment o</w:t>
      </w:r>
      <w:r w:rsidR="00000F23">
        <w:t xml:space="preserve">f a procedural and substantive </w:t>
      </w:r>
      <w:r w:rsidR="007F3C7A" w:rsidRPr="00DC1737">
        <w:t xml:space="preserve">framework </w:t>
      </w:r>
      <w:r w:rsidR="00E50466">
        <w:t xml:space="preserve"> of this kind </w:t>
      </w:r>
      <w:r w:rsidR="007F3C7A" w:rsidRPr="00DC1737">
        <w:t>is a methodology under</w:t>
      </w:r>
      <w:r w:rsidR="00E50466">
        <w:t>stood by the EU institutions , which h</w:t>
      </w:r>
      <w:r w:rsidR="00000F23">
        <w:t>ave to serve the interests of all</w:t>
      </w:r>
      <w:r w:rsidR="00E50466">
        <w:t xml:space="preserve"> Member States and not the UK alone. The commitment to </w:t>
      </w:r>
      <w:r w:rsidR="00E50466" w:rsidRPr="00E50466">
        <w:rPr>
          <w:i/>
        </w:rPr>
        <w:t>ex post</w:t>
      </w:r>
      <w:r w:rsidR="00E50466">
        <w:t xml:space="preserve"> review  of legislation  is further evidence of a change of approach , as is the possibility of using sunset clauses.  </w:t>
      </w:r>
      <w:r w:rsidR="00ED2A1D">
        <w:t>My conclusion is that, i</w:t>
      </w:r>
      <w:r w:rsidR="007F3C7A" w:rsidRPr="00DC1737">
        <w:t xml:space="preserve">f given </w:t>
      </w:r>
      <w:r w:rsidR="00ED2A1D">
        <w:t xml:space="preserve">effect in </w:t>
      </w:r>
      <w:r w:rsidR="00000F23">
        <w:t>practice, the framework</w:t>
      </w:r>
      <w:r w:rsidR="00ED2A1D">
        <w:t xml:space="preserve"> has real </w:t>
      </w:r>
      <w:r w:rsidR="00DC1737" w:rsidRPr="00DC1737">
        <w:t>p</w:t>
      </w:r>
      <w:r w:rsidR="00ED2A1D">
        <w:t>otential to increase</w:t>
      </w:r>
      <w:r w:rsidR="00DC1737">
        <w:t xml:space="preserve"> the</w:t>
      </w:r>
      <w:r w:rsidR="00DC1737" w:rsidRPr="00DC1737">
        <w:t xml:space="preserve"> accoun</w:t>
      </w:r>
      <w:r w:rsidR="00ED2A1D">
        <w:t>tability of the EU institutions in re</w:t>
      </w:r>
      <w:r w:rsidR="00000F23">
        <w:t xml:space="preserve">spect of their legislative role. </w:t>
      </w:r>
    </w:p>
    <w:p w:rsidR="00D71E8D" w:rsidRDefault="00D71E8D" w:rsidP="00D71E8D">
      <w:r>
        <w:t>Overall</w:t>
      </w:r>
      <w:r w:rsidR="00667612">
        <w:t>, the</w:t>
      </w:r>
      <w:r w:rsidR="00E50466">
        <w:t xml:space="preserve"> UK’s renegotiation in the respects covered above </w:t>
      </w:r>
      <w:r>
        <w:t xml:space="preserve">has been </w:t>
      </w:r>
      <w:r w:rsidR="00012640">
        <w:t xml:space="preserve">largely </w:t>
      </w:r>
      <w:r>
        <w:t xml:space="preserve">successful </w:t>
      </w:r>
      <w:r w:rsidR="00012640">
        <w:t>when test</w:t>
      </w:r>
      <w:r w:rsidR="00000F23">
        <w:t>ed against its negotiating aims</w:t>
      </w:r>
      <w:r w:rsidR="00012640">
        <w:t xml:space="preserve">, </w:t>
      </w:r>
      <w:r>
        <w:t>even if their practical efficacy will only become apparent as time unfolds.</w:t>
      </w:r>
    </w:p>
    <w:p w:rsidR="00D71E8D" w:rsidRDefault="00D71E8D" w:rsidP="00D71E8D"/>
    <w:p w:rsidR="0001068B" w:rsidRDefault="0001068B" w:rsidP="00956D53">
      <w:r>
        <w:t>C</w:t>
      </w:r>
      <w:r w:rsidR="00DC1737">
        <w:t>PJ Muttukumaru CB</w:t>
      </w:r>
    </w:p>
    <w:p w:rsidR="0001068B" w:rsidRPr="00375CB3" w:rsidRDefault="0001068B" w:rsidP="00956D53">
      <w:r>
        <w:t xml:space="preserve">Monckton Chambers, Gray’s Inn </w:t>
      </w:r>
    </w:p>
    <w:sectPr w:rsidR="0001068B" w:rsidRPr="0037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8F5"/>
    <w:multiLevelType w:val="hybridMultilevel"/>
    <w:tmpl w:val="AA9A7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884FE9"/>
    <w:multiLevelType w:val="hybridMultilevel"/>
    <w:tmpl w:val="8662C314"/>
    <w:lvl w:ilvl="0" w:tplc="5E4E5F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7E"/>
    <w:rsid w:val="00000F23"/>
    <w:rsid w:val="00007324"/>
    <w:rsid w:val="0001068B"/>
    <w:rsid w:val="00012640"/>
    <w:rsid w:val="00021068"/>
    <w:rsid w:val="00021555"/>
    <w:rsid w:val="00022DA3"/>
    <w:rsid w:val="00040610"/>
    <w:rsid w:val="0004524F"/>
    <w:rsid w:val="000454F2"/>
    <w:rsid w:val="000475BB"/>
    <w:rsid w:val="00050A9B"/>
    <w:rsid w:val="00067CEC"/>
    <w:rsid w:val="0008103D"/>
    <w:rsid w:val="00092260"/>
    <w:rsid w:val="000B1CEA"/>
    <w:rsid w:val="000B33A9"/>
    <w:rsid w:val="000C30DE"/>
    <w:rsid w:val="000D5FDB"/>
    <w:rsid w:val="000D6E0B"/>
    <w:rsid w:val="000E55F9"/>
    <w:rsid w:val="000F4ABE"/>
    <w:rsid w:val="00100900"/>
    <w:rsid w:val="00110DED"/>
    <w:rsid w:val="001359FD"/>
    <w:rsid w:val="00153C8F"/>
    <w:rsid w:val="0015435C"/>
    <w:rsid w:val="001626EF"/>
    <w:rsid w:val="0016361A"/>
    <w:rsid w:val="00171338"/>
    <w:rsid w:val="0019043A"/>
    <w:rsid w:val="001A4CEA"/>
    <w:rsid w:val="001C2248"/>
    <w:rsid w:val="001C4572"/>
    <w:rsid w:val="001C4D10"/>
    <w:rsid w:val="001C61B7"/>
    <w:rsid w:val="001C7BCD"/>
    <w:rsid w:val="001D0EAC"/>
    <w:rsid w:val="001D6E47"/>
    <w:rsid w:val="002212CB"/>
    <w:rsid w:val="0022735B"/>
    <w:rsid w:val="0025617B"/>
    <w:rsid w:val="00261ACD"/>
    <w:rsid w:val="00263C5F"/>
    <w:rsid w:val="00280932"/>
    <w:rsid w:val="002973AF"/>
    <w:rsid w:val="002A246B"/>
    <w:rsid w:val="002A7AD2"/>
    <w:rsid w:val="002C169A"/>
    <w:rsid w:val="002C16A1"/>
    <w:rsid w:val="00300B72"/>
    <w:rsid w:val="00312D5D"/>
    <w:rsid w:val="00313C08"/>
    <w:rsid w:val="003175FF"/>
    <w:rsid w:val="00320E3F"/>
    <w:rsid w:val="00330F82"/>
    <w:rsid w:val="00353AD8"/>
    <w:rsid w:val="00361418"/>
    <w:rsid w:val="00373F38"/>
    <w:rsid w:val="00375CB3"/>
    <w:rsid w:val="003842C1"/>
    <w:rsid w:val="003933C8"/>
    <w:rsid w:val="00396689"/>
    <w:rsid w:val="003A2EFC"/>
    <w:rsid w:val="003A711E"/>
    <w:rsid w:val="003B0A6D"/>
    <w:rsid w:val="003B2DFD"/>
    <w:rsid w:val="003C1750"/>
    <w:rsid w:val="003D2A4C"/>
    <w:rsid w:val="003D4168"/>
    <w:rsid w:val="003D76A4"/>
    <w:rsid w:val="003E7485"/>
    <w:rsid w:val="003F0E6F"/>
    <w:rsid w:val="004538F8"/>
    <w:rsid w:val="00462C08"/>
    <w:rsid w:val="00487119"/>
    <w:rsid w:val="004A453D"/>
    <w:rsid w:val="004C666B"/>
    <w:rsid w:val="004D2FC4"/>
    <w:rsid w:val="0050137F"/>
    <w:rsid w:val="0050498E"/>
    <w:rsid w:val="0052319B"/>
    <w:rsid w:val="0052572A"/>
    <w:rsid w:val="005452BE"/>
    <w:rsid w:val="00556245"/>
    <w:rsid w:val="0056039E"/>
    <w:rsid w:val="00573F38"/>
    <w:rsid w:val="00586F83"/>
    <w:rsid w:val="005944DA"/>
    <w:rsid w:val="00597ABD"/>
    <w:rsid w:val="005B10DD"/>
    <w:rsid w:val="006036AD"/>
    <w:rsid w:val="00611111"/>
    <w:rsid w:val="00611FCA"/>
    <w:rsid w:val="00615CB7"/>
    <w:rsid w:val="006244E9"/>
    <w:rsid w:val="0063062F"/>
    <w:rsid w:val="00631B10"/>
    <w:rsid w:val="00635581"/>
    <w:rsid w:val="00635A71"/>
    <w:rsid w:val="00635A73"/>
    <w:rsid w:val="00665D13"/>
    <w:rsid w:val="00666C3D"/>
    <w:rsid w:val="00667612"/>
    <w:rsid w:val="00667EAF"/>
    <w:rsid w:val="00672600"/>
    <w:rsid w:val="006834EA"/>
    <w:rsid w:val="00684E2D"/>
    <w:rsid w:val="006942DE"/>
    <w:rsid w:val="006A414C"/>
    <w:rsid w:val="006A7D51"/>
    <w:rsid w:val="006B131A"/>
    <w:rsid w:val="006B1644"/>
    <w:rsid w:val="006B74E0"/>
    <w:rsid w:val="006C3A86"/>
    <w:rsid w:val="006C462C"/>
    <w:rsid w:val="006C7F01"/>
    <w:rsid w:val="006F01C7"/>
    <w:rsid w:val="006F7B9E"/>
    <w:rsid w:val="0072346E"/>
    <w:rsid w:val="0075210D"/>
    <w:rsid w:val="007549EF"/>
    <w:rsid w:val="0076579F"/>
    <w:rsid w:val="00767491"/>
    <w:rsid w:val="007804DB"/>
    <w:rsid w:val="0078484A"/>
    <w:rsid w:val="007A1B7B"/>
    <w:rsid w:val="007D48F1"/>
    <w:rsid w:val="007E41D8"/>
    <w:rsid w:val="007E6413"/>
    <w:rsid w:val="007F3C7A"/>
    <w:rsid w:val="0080060C"/>
    <w:rsid w:val="00841CCC"/>
    <w:rsid w:val="008438F4"/>
    <w:rsid w:val="00853DFC"/>
    <w:rsid w:val="008B0A26"/>
    <w:rsid w:val="008F2A9B"/>
    <w:rsid w:val="008F57AF"/>
    <w:rsid w:val="0091095F"/>
    <w:rsid w:val="009140D7"/>
    <w:rsid w:val="00956D53"/>
    <w:rsid w:val="00961149"/>
    <w:rsid w:val="00974716"/>
    <w:rsid w:val="0097536B"/>
    <w:rsid w:val="00982DB6"/>
    <w:rsid w:val="00984DE9"/>
    <w:rsid w:val="00991D8F"/>
    <w:rsid w:val="00992547"/>
    <w:rsid w:val="00995365"/>
    <w:rsid w:val="00996BC2"/>
    <w:rsid w:val="009A3BAB"/>
    <w:rsid w:val="009A4EE5"/>
    <w:rsid w:val="009C1C26"/>
    <w:rsid w:val="009D76F0"/>
    <w:rsid w:val="009F0871"/>
    <w:rsid w:val="009F6204"/>
    <w:rsid w:val="00A14C1F"/>
    <w:rsid w:val="00A16B1E"/>
    <w:rsid w:val="00A2194F"/>
    <w:rsid w:val="00A261AB"/>
    <w:rsid w:val="00A34476"/>
    <w:rsid w:val="00A376C9"/>
    <w:rsid w:val="00A455DB"/>
    <w:rsid w:val="00A628E8"/>
    <w:rsid w:val="00A771D1"/>
    <w:rsid w:val="00A86D61"/>
    <w:rsid w:val="00A90369"/>
    <w:rsid w:val="00A90D23"/>
    <w:rsid w:val="00A93D21"/>
    <w:rsid w:val="00AA38F1"/>
    <w:rsid w:val="00AA5C81"/>
    <w:rsid w:val="00AD2242"/>
    <w:rsid w:val="00AD2525"/>
    <w:rsid w:val="00AD7E46"/>
    <w:rsid w:val="00AE54BB"/>
    <w:rsid w:val="00AF00EE"/>
    <w:rsid w:val="00AF6111"/>
    <w:rsid w:val="00AF763A"/>
    <w:rsid w:val="00B10411"/>
    <w:rsid w:val="00B3094A"/>
    <w:rsid w:val="00B5235C"/>
    <w:rsid w:val="00B53999"/>
    <w:rsid w:val="00B57026"/>
    <w:rsid w:val="00B76E54"/>
    <w:rsid w:val="00B87015"/>
    <w:rsid w:val="00B934AC"/>
    <w:rsid w:val="00BD7BF9"/>
    <w:rsid w:val="00BF4E53"/>
    <w:rsid w:val="00C0391A"/>
    <w:rsid w:val="00C10621"/>
    <w:rsid w:val="00C17334"/>
    <w:rsid w:val="00C3115D"/>
    <w:rsid w:val="00C344D0"/>
    <w:rsid w:val="00C42A26"/>
    <w:rsid w:val="00C43B95"/>
    <w:rsid w:val="00C43FC5"/>
    <w:rsid w:val="00C56C92"/>
    <w:rsid w:val="00C60318"/>
    <w:rsid w:val="00C6585C"/>
    <w:rsid w:val="00C778F2"/>
    <w:rsid w:val="00C87CE9"/>
    <w:rsid w:val="00C9077E"/>
    <w:rsid w:val="00C913FC"/>
    <w:rsid w:val="00C9419B"/>
    <w:rsid w:val="00C96F28"/>
    <w:rsid w:val="00CA72F8"/>
    <w:rsid w:val="00CD60D8"/>
    <w:rsid w:val="00CF2944"/>
    <w:rsid w:val="00D13946"/>
    <w:rsid w:val="00D71E8D"/>
    <w:rsid w:val="00D82A1F"/>
    <w:rsid w:val="00DA30C0"/>
    <w:rsid w:val="00DA4797"/>
    <w:rsid w:val="00DB1D4D"/>
    <w:rsid w:val="00DB6822"/>
    <w:rsid w:val="00DC1737"/>
    <w:rsid w:val="00DC45A9"/>
    <w:rsid w:val="00DD46E7"/>
    <w:rsid w:val="00DD50A9"/>
    <w:rsid w:val="00DE2503"/>
    <w:rsid w:val="00DF688F"/>
    <w:rsid w:val="00E03907"/>
    <w:rsid w:val="00E205EB"/>
    <w:rsid w:val="00E3021E"/>
    <w:rsid w:val="00E40FC0"/>
    <w:rsid w:val="00E50466"/>
    <w:rsid w:val="00E605B3"/>
    <w:rsid w:val="00E624CF"/>
    <w:rsid w:val="00E62C09"/>
    <w:rsid w:val="00E75409"/>
    <w:rsid w:val="00E864F2"/>
    <w:rsid w:val="00EB2B3C"/>
    <w:rsid w:val="00EB6133"/>
    <w:rsid w:val="00EC67C0"/>
    <w:rsid w:val="00ED2A1D"/>
    <w:rsid w:val="00ED75FA"/>
    <w:rsid w:val="00EF35DC"/>
    <w:rsid w:val="00F0074A"/>
    <w:rsid w:val="00F32292"/>
    <w:rsid w:val="00F326B2"/>
    <w:rsid w:val="00F43C21"/>
    <w:rsid w:val="00F531FD"/>
    <w:rsid w:val="00F73756"/>
    <w:rsid w:val="00F919FB"/>
    <w:rsid w:val="00F93104"/>
    <w:rsid w:val="00F93F8B"/>
    <w:rsid w:val="00F9400E"/>
    <w:rsid w:val="00FA173A"/>
    <w:rsid w:val="00FB149C"/>
    <w:rsid w:val="00FC08EC"/>
    <w:rsid w:val="00FC5C48"/>
    <w:rsid w:val="00FE282E"/>
    <w:rsid w:val="00FF399B"/>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04"/>
    <w:pPr>
      <w:ind w:left="720"/>
      <w:contextualSpacing/>
    </w:pPr>
  </w:style>
  <w:style w:type="character" w:customStyle="1" w:styleId="Heading1Char">
    <w:name w:val="Heading 1 Char"/>
    <w:basedOn w:val="DefaultParagraphFont"/>
    <w:link w:val="Heading1"/>
    <w:uiPriority w:val="9"/>
    <w:rsid w:val="00FA17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A173A"/>
    <w:pPr>
      <w:outlineLvl w:val="9"/>
    </w:pPr>
    <w:rPr>
      <w:lang w:val="en-US"/>
    </w:rPr>
  </w:style>
  <w:style w:type="paragraph" w:styleId="BalloonText">
    <w:name w:val="Balloon Text"/>
    <w:basedOn w:val="Normal"/>
    <w:link w:val="BalloonTextChar"/>
    <w:uiPriority w:val="99"/>
    <w:semiHidden/>
    <w:unhideWhenUsed/>
    <w:rsid w:val="005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1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104"/>
    <w:pPr>
      <w:ind w:left="720"/>
      <w:contextualSpacing/>
    </w:pPr>
  </w:style>
  <w:style w:type="character" w:customStyle="1" w:styleId="Heading1Char">
    <w:name w:val="Heading 1 Char"/>
    <w:basedOn w:val="DefaultParagraphFont"/>
    <w:link w:val="Heading1"/>
    <w:uiPriority w:val="9"/>
    <w:rsid w:val="00FA17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A173A"/>
    <w:pPr>
      <w:outlineLvl w:val="9"/>
    </w:pPr>
    <w:rPr>
      <w:lang w:val="en-US"/>
    </w:rPr>
  </w:style>
  <w:style w:type="paragraph" w:styleId="BalloonText">
    <w:name w:val="Balloon Text"/>
    <w:basedOn w:val="Normal"/>
    <w:link w:val="BalloonTextChar"/>
    <w:uiPriority w:val="99"/>
    <w:semiHidden/>
    <w:unhideWhenUsed/>
    <w:rsid w:val="005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1B2D-143D-4BDE-B31D-AB41B52C2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Monckton Chambers</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Muttukumaru</dc:creator>
  <cp:lastModifiedBy>Daiva Eitkeviciene</cp:lastModifiedBy>
  <cp:revision>2</cp:revision>
  <cp:lastPrinted>2016-03-02T11:38:00Z</cp:lastPrinted>
  <dcterms:created xsi:type="dcterms:W3CDTF">2016-05-17T08:07:00Z</dcterms:created>
  <dcterms:modified xsi:type="dcterms:W3CDTF">2016-05-17T08:07:00Z</dcterms:modified>
</cp:coreProperties>
</file>